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7D" w:rsidRDefault="006943E6" w:rsidP="008D6BF2">
      <w:pPr>
        <w:rPr>
          <w:sz w:val="24"/>
          <w:szCs w:val="24"/>
        </w:rPr>
      </w:pPr>
      <w:r w:rsidRPr="006943E6">
        <w:rPr>
          <w:sz w:val="24"/>
          <w:szCs w:val="24"/>
        </w:rPr>
        <w:t>Interagency members</w:t>
      </w:r>
      <w:r w:rsidR="0077632C">
        <w:rPr>
          <w:sz w:val="24"/>
          <w:szCs w:val="24"/>
        </w:rPr>
        <w:t xml:space="preserve"> from the U.S. Coast Guard</w:t>
      </w:r>
      <w:r w:rsidR="00B22E03">
        <w:rPr>
          <w:sz w:val="24"/>
          <w:szCs w:val="24"/>
        </w:rPr>
        <w:t xml:space="preserve"> (USCG)</w:t>
      </w:r>
      <w:r w:rsidR="0077632C">
        <w:rPr>
          <w:sz w:val="24"/>
          <w:szCs w:val="24"/>
        </w:rPr>
        <w:t>, Environmental Protection Agency (EPA), National Oceanic and Atmospheric Administration (NOAA)/National Marine Fisheries Service (NMFS), and the Department of the Interior/U.S. Fish and Wildlife Service (USFWS)</w:t>
      </w:r>
      <w:r w:rsidRPr="006943E6">
        <w:rPr>
          <w:sz w:val="24"/>
          <w:szCs w:val="24"/>
        </w:rPr>
        <w:t xml:space="preserve"> participating on the National Response Team’s (NRT) National Environmental Compliance (NEC) Subcommittee developed the Response Action</w:t>
      </w:r>
      <w:r>
        <w:rPr>
          <w:sz w:val="24"/>
          <w:szCs w:val="24"/>
        </w:rPr>
        <w:t xml:space="preserve"> Matrix </w:t>
      </w:r>
      <w:r w:rsidR="00741A7D">
        <w:rPr>
          <w:sz w:val="24"/>
          <w:szCs w:val="24"/>
        </w:rPr>
        <w:t xml:space="preserve">to aid in Endangered Species Act (ESA) Section 7 consultations. </w:t>
      </w:r>
    </w:p>
    <w:p w:rsidR="00741A7D" w:rsidRPr="008D6BF2" w:rsidRDefault="00741A7D" w:rsidP="008D6BF2">
      <w:pPr>
        <w:rPr>
          <w:sz w:val="24"/>
          <w:szCs w:val="24"/>
        </w:rPr>
      </w:pPr>
    </w:p>
    <w:p w:rsidR="008D6BF2" w:rsidRPr="008D6BF2" w:rsidRDefault="008D6BF2" w:rsidP="008D6BF2">
      <w:pPr>
        <w:rPr>
          <w:sz w:val="24"/>
          <w:szCs w:val="24"/>
        </w:rPr>
      </w:pPr>
      <w:r w:rsidRPr="008D6BF2">
        <w:rPr>
          <w:sz w:val="24"/>
          <w:szCs w:val="24"/>
        </w:rPr>
        <w:t xml:space="preserve">The goal of the Response Action Matrix is </w:t>
      </w:r>
      <w:r w:rsidR="007266D7">
        <w:rPr>
          <w:sz w:val="24"/>
          <w:szCs w:val="24"/>
        </w:rPr>
        <w:t>to</w:t>
      </w:r>
      <w:r w:rsidR="00153355">
        <w:rPr>
          <w:sz w:val="24"/>
          <w:szCs w:val="24"/>
        </w:rPr>
        <w:t xml:space="preserve"> </w:t>
      </w:r>
      <w:r w:rsidR="00B02DA9">
        <w:rPr>
          <w:sz w:val="24"/>
          <w:szCs w:val="24"/>
        </w:rPr>
        <w:t xml:space="preserve">help </w:t>
      </w:r>
      <w:r w:rsidR="00153355">
        <w:rPr>
          <w:sz w:val="24"/>
          <w:szCs w:val="24"/>
        </w:rPr>
        <w:t xml:space="preserve">build a common understanding between the action agencies (USCG and EPA) and the Services (NMFS and USFWS) of </w:t>
      </w:r>
      <w:r w:rsidR="00204A25">
        <w:rPr>
          <w:sz w:val="24"/>
          <w:szCs w:val="24"/>
        </w:rPr>
        <w:t>the</w:t>
      </w:r>
      <w:r w:rsidR="007266D7">
        <w:rPr>
          <w:sz w:val="24"/>
          <w:szCs w:val="24"/>
        </w:rPr>
        <w:t xml:space="preserve"> proposed spill response </w:t>
      </w:r>
      <w:r>
        <w:rPr>
          <w:sz w:val="24"/>
          <w:szCs w:val="24"/>
        </w:rPr>
        <w:t>activitie</w:t>
      </w:r>
      <w:bookmarkStart w:id="0" w:name="_GoBack"/>
      <w:bookmarkEnd w:id="0"/>
      <w:r>
        <w:rPr>
          <w:sz w:val="24"/>
          <w:szCs w:val="24"/>
        </w:rPr>
        <w:t xml:space="preserve">s (actions that are authorized, </w:t>
      </w:r>
      <w:r w:rsidR="00A5634C">
        <w:rPr>
          <w:sz w:val="24"/>
          <w:szCs w:val="24"/>
        </w:rPr>
        <w:t>funded,</w:t>
      </w:r>
      <w:r>
        <w:rPr>
          <w:sz w:val="24"/>
          <w:szCs w:val="24"/>
        </w:rPr>
        <w:t xml:space="preserve"> or carried out</w:t>
      </w:r>
      <w:r w:rsidRPr="008D6BF2">
        <w:rPr>
          <w:sz w:val="24"/>
          <w:szCs w:val="24"/>
        </w:rPr>
        <w:t>)</w:t>
      </w:r>
      <w:r w:rsidR="00B02DA9">
        <w:rPr>
          <w:sz w:val="24"/>
          <w:szCs w:val="24"/>
        </w:rPr>
        <w:t xml:space="preserve"> and their potential impacts on threatened and endangered species and </w:t>
      </w:r>
      <w:r w:rsidR="00D6468B">
        <w:rPr>
          <w:sz w:val="24"/>
          <w:szCs w:val="24"/>
        </w:rPr>
        <w:t xml:space="preserve">designated </w:t>
      </w:r>
      <w:r w:rsidR="00B02DA9">
        <w:rPr>
          <w:sz w:val="24"/>
          <w:szCs w:val="24"/>
        </w:rPr>
        <w:t>critical habitat</w:t>
      </w:r>
      <w:r w:rsidR="00D6468B">
        <w:rPr>
          <w:sz w:val="24"/>
          <w:szCs w:val="24"/>
        </w:rPr>
        <w:t xml:space="preserve"> of such species</w:t>
      </w:r>
      <w:r w:rsidR="001533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53355" w:rsidRPr="008D6BF2">
        <w:rPr>
          <w:sz w:val="24"/>
          <w:szCs w:val="24"/>
        </w:rPr>
        <w:t>Th</w:t>
      </w:r>
      <w:r w:rsidR="00153355">
        <w:rPr>
          <w:sz w:val="24"/>
          <w:szCs w:val="24"/>
        </w:rPr>
        <w:t>e</w:t>
      </w:r>
      <w:r w:rsidR="00153355" w:rsidRPr="008D6BF2">
        <w:rPr>
          <w:sz w:val="24"/>
          <w:szCs w:val="24"/>
        </w:rPr>
        <w:t xml:space="preserve"> matrix </w:t>
      </w:r>
      <w:r w:rsidR="002C7CBD">
        <w:rPr>
          <w:sz w:val="24"/>
          <w:szCs w:val="24"/>
        </w:rPr>
        <w:t xml:space="preserve">attempts to deconstruct the </w:t>
      </w:r>
      <w:r w:rsidR="00153355">
        <w:rPr>
          <w:sz w:val="24"/>
          <w:szCs w:val="24"/>
        </w:rPr>
        <w:t xml:space="preserve">activities in order </w:t>
      </w:r>
      <w:r w:rsidR="00B02DA9">
        <w:rPr>
          <w:sz w:val="24"/>
          <w:szCs w:val="24"/>
        </w:rPr>
        <w:t xml:space="preserve">to </w:t>
      </w:r>
      <w:r w:rsidR="00153355">
        <w:rPr>
          <w:sz w:val="24"/>
          <w:szCs w:val="24"/>
        </w:rPr>
        <w:t xml:space="preserve">more effectively identify and </w:t>
      </w:r>
      <w:r w:rsidR="00B02DA9">
        <w:rPr>
          <w:sz w:val="24"/>
          <w:szCs w:val="24"/>
        </w:rPr>
        <w:t>evaluate their</w:t>
      </w:r>
      <w:r w:rsidR="00153355">
        <w:rPr>
          <w:sz w:val="24"/>
          <w:szCs w:val="24"/>
        </w:rPr>
        <w:t xml:space="preserve"> potential impacts</w:t>
      </w:r>
      <w:r w:rsidR="002C7CBD">
        <w:rPr>
          <w:sz w:val="24"/>
          <w:szCs w:val="24"/>
        </w:rPr>
        <w:t xml:space="preserve">. The matrix may be used in </w:t>
      </w:r>
      <w:r w:rsidR="001C3832">
        <w:rPr>
          <w:sz w:val="24"/>
          <w:szCs w:val="24"/>
        </w:rPr>
        <w:t xml:space="preserve">the development of Biological Assessments/Evaluations to aid in fully describing the proposed actions </w:t>
      </w:r>
      <w:r w:rsidR="002C7CBD">
        <w:rPr>
          <w:sz w:val="24"/>
          <w:szCs w:val="24"/>
        </w:rPr>
        <w:t>and facilitating</w:t>
      </w:r>
      <w:r w:rsidRPr="008D6BF2">
        <w:rPr>
          <w:sz w:val="24"/>
          <w:szCs w:val="24"/>
        </w:rPr>
        <w:t xml:space="preserve"> discussion</w:t>
      </w:r>
      <w:r w:rsidR="002C7CBD">
        <w:rPr>
          <w:sz w:val="24"/>
          <w:szCs w:val="24"/>
        </w:rPr>
        <w:t xml:space="preserve">s on what and how species or habitat may be affected. </w:t>
      </w:r>
      <w:r w:rsidRPr="008D6BF2">
        <w:rPr>
          <w:sz w:val="24"/>
          <w:szCs w:val="24"/>
        </w:rPr>
        <w:t xml:space="preserve"> </w:t>
      </w:r>
    </w:p>
    <w:p w:rsidR="008D6BF2" w:rsidRPr="008D6BF2" w:rsidRDefault="008D6BF2" w:rsidP="008D6BF2">
      <w:pPr>
        <w:rPr>
          <w:sz w:val="24"/>
          <w:szCs w:val="24"/>
        </w:rPr>
      </w:pPr>
    </w:p>
    <w:p w:rsidR="009F7CD5" w:rsidRDefault="008D6BF2" w:rsidP="008D6BF2">
      <w:pPr>
        <w:rPr>
          <w:sz w:val="24"/>
          <w:szCs w:val="24"/>
        </w:rPr>
      </w:pPr>
      <w:r w:rsidRPr="008D6BF2">
        <w:rPr>
          <w:sz w:val="24"/>
          <w:szCs w:val="24"/>
        </w:rPr>
        <w:t>The Response Action Matrix includes</w:t>
      </w:r>
      <w:r w:rsidR="00F860F5">
        <w:rPr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952"/>
        <w:gridCol w:w="2952"/>
      </w:tblGrid>
      <w:tr w:rsidR="009F7CD5" w:rsidTr="003C04D7">
        <w:trPr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9F7CD5">
              <w:rPr>
                <w:szCs w:val="24"/>
              </w:rPr>
              <w:t>Column A</w:t>
            </w:r>
          </w:p>
        </w:tc>
        <w:tc>
          <w:tcPr>
            <w:tcW w:w="2952" w:type="dxa"/>
            <w:shd w:val="clear" w:color="auto" w:fill="DBE5F1" w:themeFill="accent1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9F7CD5">
              <w:rPr>
                <w:szCs w:val="24"/>
              </w:rPr>
              <w:t>The spill response activity (federal action)</w:t>
            </w:r>
          </w:p>
        </w:tc>
        <w:tc>
          <w:tcPr>
            <w:tcW w:w="2952" w:type="dxa"/>
            <w:vMerge w:val="restart"/>
            <w:shd w:val="clear" w:color="auto" w:fill="DBE5F1" w:themeFill="accent1" w:themeFillTint="33"/>
          </w:tcPr>
          <w:p w:rsidR="009F7CD5" w:rsidRPr="009F7CD5" w:rsidRDefault="009F7CD5" w:rsidP="009F7CD5">
            <w:pPr>
              <w:jc w:val="center"/>
            </w:pPr>
            <w:r w:rsidRPr="009F7CD5">
              <w:t>These columns describe what the action is and when, where, and how it is used</w:t>
            </w:r>
            <w:r>
              <w:t>.</w:t>
            </w:r>
          </w:p>
        </w:tc>
      </w:tr>
      <w:tr w:rsidR="009F7CD5" w:rsidTr="003C04D7">
        <w:trPr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9F7CD5">
              <w:rPr>
                <w:szCs w:val="24"/>
              </w:rPr>
              <w:t>Column B</w:t>
            </w:r>
          </w:p>
        </w:tc>
        <w:tc>
          <w:tcPr>
            <w:tcW w:w="2952" w:type="dxa"/>
            <w:shd w:val="clear" w:color="auto" w:fill="DBE5F1" w:themeFill="accent1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9F7CD5">
              <w:rPr>
                <w:szCs w:val="24"/>
              </w:rPr>
              <w:t>The definition of the spill response activity</w:t>
            </w:r>
          </w:p>
        </w:tc>
        <w:tc>
          <w:tcPr>
            <w:tcW w:w="2952" w:type="dxa"/>
            <w:vMerge/>
            <w:shd w:val="clear" w:color="auto" w:fill="DBE5F1" w:themeFill="accent1" w:themeFillTint="33"/>
          </w:tcPr>
          <w:p w:rsidR="009F7CD5" w:rsidRPr="009F7CD5" w:rsidRDefault="009F7CD5" w:rsidP="009F7CD5">
            <w:pPr>
              <w:jc w:val="center"/>
            </w:pPr>
          </w:p>
        </w:tc>
      </w:tr>
      <w:tr w:rsidR="009F7CD5" w:rsidTr="003C04D7">
        <w:trPr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9F7CD5">
              <w:rPr>
                <w:szCs w:val="24"/>
              </w:rPr>
              <w:t>Column C</w:t>
            </w:r>
          </w:p>
        </w:tc>
        <w:tc>
          <w:tcPr>
            <w:tcW w:w="2952" w:type="dxa"/>
            <w:shd w:val="clear" w:color="auto" w:fill="DBE5F1" w:themeFill="accent1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9F7CD5">
              <w:rPr>
                <w:szCs w:val="24"/>
              </w:rPr>
              <w:t>Typical locations in the action area where the response activity is implemented</w:t>
            </w:r>
          </w:p>
        </w:tc>
        <w:tc>
          <w:tcPr>
            <w:tcW w:w="2952" w:type="dxa"/>
            <w:vMerge/>
            <w:shd w:val="clear" w:color="auto" w:fill="DBE5F1" w:themeFill="accent1" w:themeFillTint="33"/>
          </w:tcPr>
          <w:p w:rsidR="009F7CD5" w:rsidRPr="009F7CD5" w:rsidRDefault="009F7CD5" w:rsidP="009F7CD5">
            <w:pPr>
              <w:jc w:val="center"/>
            </w:pPr>
          </w:p>
        </w:tc>
      </w:tr>
      <w:tr w:rsidR="009F7CD5" w:rsidTr="003C04D7">
        <w:trPr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9F7CD5">
              <w:rPr>
                <w:szCs w:val="24"/>
              </w:rPr>
              <w:t>Column D</w:t>
            </w:r>
          </w:p>
        </w:tc>
        <w:tc>
          <w:tcPr>
            <w:tcW w:w="2952" w:type="dxa"/>
            <w:shd w:val="clear" w:color="auto" w:fill="DBE5F1" w:themeFill="accent1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9F7CD5">
              <w:rPr>
                <w:szCs w:val="24"/>
              </w:rPr>
              <w:t>Environmental conditions that limit where or when to use the response activity</w:t>
            </w:r>
          </w:p>
        </w:tc>
        <w:tc>
          <w:tcPr>
            <w:tcW w:w="2952" w:type="dxa"/>
            <w:vMerge/>
            <w:shd w:val="clear" w:color="auto" w:fill="DBE5F1" w:themeFill="accent1" w:themeFillTint="33"/>
          </w:tcPr>
          <w:p w:rsidR="009F7CD5" w:rsidRPr="009F7CD5" w:rsidRDefault="009F7CD5" w:rsidP="009F7CD5">
            <w:pPr>
              <w:jc w:val="center"/>
            </w:pPr>
          </w:p>
        </w:tc>
      </w:tr>
      <w:tr w:rsidR="009F7CD5" w:rsidTr="003C04D7">
        <w:trPr>
          <w:jc w:val="center"/>
        </w:trPr>
        <w:tc>
          <w:tcPr>
            <w:tcW w:w="1908" w:type="dxa"/>
            <w:shd w:val="clear" w:color="auto" w:fill="95B3D7" w:themeFill="accent1" w:themeFillTint="99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4C7827">
              <w:rPr>
                <w:szCs w:val="24"/>
              </w:rPr>
              <w:t>Column E</w:t>
            </w:r>
          </w:p>
        </w:tc>
        <w:tc>
          <w:tcPr>
            <w:tcW w:w="2952" w:type="dxa"/>
            <w:shd w:val="clear" w:color="auto" w:fill="95B3D7" w:themeFill="accent1" w:themeFillTint="99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4C7827">
              <w:rPr>
                <w:szCs w:val="24"/>
              </w:rPr>
              <w:t>Discussion questions/considerations</w:t>
            </w:r>
          </w:p>
        </w:tc>
        <w:tc>
          <w:tcPr>
            <w:tcW w:w="2952" w:type="dxa"/>
            <w:vMerge w:val="restart"/>
            <w:shd w:val="clear" w:color="auto" w:fill="95B3D7" w:themeFill="accent1" w:themeFillTint="99"/>
          </w:tcPr>
          <w:p w:rsidR="009F7CD5" w:rsidRPr="009F7CD5" w:rsidRDefault="009F7CD5" w:rsidP="009F7CD5">
            <w:pPr>
              <w:jc w:val="center"/>
            </w:pPr>
            <w:r w:rsidRPr="009F7CD5">
              <w:t>These columns describe actions that are part of the response but not pre-determined in pre-spill planning.</w:t>
            </w:r>
          </w:p>
        </w:tc>
      </w:tr>
      <w:tr w:rsidR="009F7CD5" w:rsidTr="003C04D7">
        <w:trPr>
          <w:jc w:val="center"/>
        </w:trPr>
        <w:tc>
          <w:tcPr>
            <w:tcW w:w="1908" w:type="dxa"/>
            <w:shd w:val="clear" w:color="auto" w:fill="95B3D7" w:themeFill="accent1" w:themeFillTint="99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4C7827">
              <w:rPr>
                <w:szCs w:val="24"/>
              </w:rPr>
              <w:t>Column F</w:t>
            </w:r>
          </w:p>
        </w:tc>
        <w:tc>
          <w:tcPr>
            <w:tcW w:w="2952" w:type="dxa"/>
            <w:shd w:val="clear" w:color="auto" w:fill="95B3D7" w:themeFill="accent1" w:themeFillTint="99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4C7827">
              <w:rPr>
                <w:szCs w:val="24"/>
              </w:rPr>
              <w:t>Potential inter-related and inter-dependent response activities</w:t>
            </w:r>
          </w:p>
        </w:tc>
        <w:tc>
          <w:tcPr>
            <w:tcW w:w="2952" w:type="dxa"/>
            <w:vMerge/>
            <w:shd w:val="clear" w:color="auto" w:fill="95B3D7" w:themeFill="accent1" w:themeFillTint="99"/>
          </w:tcPr>
          <w:p w:rsidR="009F7CD5" w:rsidRPr="009F7CD5" w:rsidRDefault="009F7CD5" w:rsidP="009F7CD5">
            <w:pPr>
              <w:jc w:val="center"/>
            </w:pPr>
          </w:p>
        </w:tc>
      </w:tr>
      <w:tr w:rsidR="009F7CD5" w:rsidTr="003C04D7">
        <w:trPr>
          <w:jc w:val="center"/>
        </w:trPr>
        <w:tc>
          <w:tcPr>
            <w:tcW w:w="1908" w:type="dxa"/>
            <w:shd w:val="clear" w:color="auto" w:fill="EAF1DD" w:themeFill="accent3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4C7827">
              <w:rPr>
                <w:szCs w:val="24"/>
              </w:rPr>
              <w:t>Column G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4C7827">
              <w:rPr>
                <w:szCs w:val="24"/>
              </w:rPr>
              <w:t>Aspects of spill response activity that are in scope of consultation</w:t>
            </w:r>
          </w:p>
        </w:tc>
        <w:tc>
          <w:tcPr>
            <w:tcW w:w="2952" w:type="dxa"/>
            <w:vMerge w:val="restart"/>
            <w:shd w:val="clear" w:color="auto" w:fill="EAF1DD" w:themeFill="accent3" w:themeFillTint="33"/>
          </w:tcPr>
          <w:p w:rsidR="009F7CD5" w:rsidRPr="009F7CD5" w:rsidRDefault="009F7CD5" w:rsidP="009F7CD5">
            <w:pPr>
              <w:jc w:val="center"/>
            </w:pPr>
            <w:r w:rsidRPr="009F7CD5">
              <w:t>These columns describe the specific elements of the action that could affect species and the potential impacts.</w:t>
            </w:r>
          </w:p>
        </w:tc>
      </w:tr>
      <w:tr w:rsidR="009F7CD5" w:rsidTr="003C04D7">
        <w:trPr>
          <w:jc w:val="center"/>
        </w:trPr>
        <w:tc>
          <w:tcPr>
            <w:tcW w:w="1908" w:type="dxa"/>
            <w:shd w:val="clear" w:color="auto" w:fill="EAF1DD" w:themeFill="accent3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4C7827">
              <w:rPr>
                <w:szCs w:val="24"/>
              </w:rPr>
              <w:t>Column H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4C7827">
              <w:rPr>
                <w:szCs w:val="24"/>
              </w:rPr>
              <w:t>Potential impacts considered on ESA-listed species or their habitat</w:t>
            </w:r>
          </w:p>
        </w:tc>
        <w:tc>
          <w:tcPr>
            <w:tcW w:w="2952" w:type="dxa"/>
            <w:vMerge/>
            <w:shd w:val="clear" w:color="auto" w:fill="EAF1DD" w:themeFill="accent3" w:themeFillTint="33"/>
          </w:tcPr>
          <w:p w:rsidR="009F7CD5" w:rsidRPr="009F7CD5" w:rsidRDefault="009F7CD5" w:rsidP="009F7CD5">
            <w:pPr>
              <w:jc w:val="center"/>
            </w:pPr>
          </w:p>
        </w:tc>
      </w:tr>
      <w:tr w:rsidR="009F7CD5" w:rsidTr="003C04D7">
        <w:trPr>
          <w:jc w:val="center"/>
        </w:trPr>
        <w:tc>
          <w:tcPr>
            <w:tcW w:w="1908" w:type="dxa"/>
            <w:shd w:val="clear" w:color="auto" w:fill="C2D69B" w:themeFill="accent3" w:themeFillTint="99"/>
          </w:tcPr>
          <w:p w:rsidR="009F7CD5" w:rsidRPr="004C7827" w:rsidRDefault="009F7CD5" w:rsidP="009F7CD5">
            <w:pPr>
              <w:jc w:val="center"/>
              <w:rPr>
                <w:szCs w:val="24"/>
              </w:rPr>
            </w:pPr>
            <w:r w:rsidRPr="004C7827">
              <w:rPr>
                <w:szCs w:val="24"/>
              </w:rPr>
              <w:t>Column I</w:t>
            </w:r>
          </w:p>
        </w:tc>
        <w:tc>
          <w:tcPr>
            <w:tcW w:w="2952" w:type="dxa"/>
            <w:shd w:val="clear" w:color="auto" w:fill="C2D69B" w:themeFill="accent3" w:themeFillTint="99"/>
          </w:tcPr>
          <w:p w:rsidR="009F7CD5" w:rsidRDefault="009F7CD5" w:rsidP="009F7CD5">
            <w:pPr>
              <w:jc w:val="center"/>
              <w:rPr>
                <w:sz w:val="24"/>
                <w:szCs w:val="24"/>
              </w:rPr>
            </w:pPr>
            <w:r w:rsidRPr="004C7827">
              <w:rPr>
                <w:szCs w:val="24"/>
              </w:rPr>
              <w:t>General groups of species that may be affected</w:t>
            </w:r>
          </w:p>
        </w:tc>
        <w:tc>
          <w:tcPr>
            <w:tcW w:w="2952" w:type="dxa"/>
            <w:shd w:val="clear" w:color="auto" w:fill="C2D69B" w:themeFill="accent3" w:themeFillTint="99"/>
          </w:tcPr>
          <w:p w:rsidR="009F7CD5" w:rsidRPr="009F7CD5" w:rsidRDefault="009F7CD5" w:rsidP="009F7CD5">
            <w:pPr>
              <w:jc w:val="center"/>
            </w:pPr>
            <w:r w:rsidRPr="009F7CD5">
              <w:t>This column lists the broad groups of species that may be affected.</w:t>
            </w:r>
          </w:p>
        </w:tc>
      </w:tr>
    </w:tbl>
    <w:p w:rsidR="008D6BF2" w:rsidRPr="008D6BF2" w:rsidRDefault="008D6BF2">
      <w:pPr>
        <w:rPr>
          <w:sz w:val="24"/>
          <w:szCs w:val="24"/>
        </w:rPr>
      </w:pPr>
    </w:p>
    <w:p w:rsidR="00741A7D" w:rsidRDefault="002F35F4" w:rsidP="00741A7D">
      <w:pPr>
        <w:rPr>
          <w:sz w:val="24"/>
          <w:szCs w:val="24"/>
        </w:rPr>
      </w:pPr>
      <w:r>
        <w:rPr>
          <w:sz w:val="24"/>
          <w:szCs w:val="24"/>
        </w:rPr>
        <w:t xml:space="preserve">Developed mainly for use in pre-spill ESA Section 7 discussions at the Regional Response Team (RRT) level, the matrix was designed to improve coordination and </w:t>
      </w:r>
      <w:r w:rsidR="00741A7D">
        <w:rPr>
          <w:sz w:val="24"/>
          <w:szCs w:val="24"/>
        </w:rPr>
        <w:t>consistency</w:t>
      </w:r>
      <w:r>
        <w:rPr>
          <w:sz w:val="24"/>
          <w:szCs w:val="24"/>
        </w:rPr>
        <w:t xml:space="preserve"> to better achieve </w:t>
      </w:r>
      <w:r w:rsidR="00E45D44">
        <w:rPr>
          <w:sz w:val="24"/>
          <w:szCs w:val="24"/>
        </w:rPr>
        <w:t>timely, efficient</w:t>
      </w:r>
      <w:r w:rsidR="00F860F5">
        <w:rPr>
          <w:sz w:val="24"/>
          <w:szCs w:val="24"/>
        </w:rPr>
        <w:t>,</w:t>
      </w:r>
      <w:r w:rsidR="00E45D44">
        <w:rPr>
          <w:sz w:val="24"/>
          <w:szCs w:val="24"/>
        </w:rPr>
        <w:t xml:space="preserve"> and effective </w:t>
      </w:r>
      <w:r>
        <w:rPr>
          <w:sz w:val="24"/>
          <w:szCs w:val="24"/>
        </w:rPr>
        <w:t>c</w:t>
      </w:r>
      <w:r w:rsidR="00741A7D">
        <w:rPr>
          <w:sz w:val="24"/>
          <w:szCs w:val="24"/>
        </w:rPr>
        <w:t>ompliance with the ESA. Action a</w:t>
      </w:r>
      <w:r>
        <w:rPr>
          <w:sz w:val="24"/>
          <w:szCs w:val="24"/>
        </w:rPr>
        <w:t>gencies should work with their regional ESA Section 7 personnel from NMFS and USF</w:t>
      </w:r>
      <w:r w:rsidR="00E45D44">
        <w:rPr>
          <w:sz w:val="24"/>
          <w:szCs w:val="24"/>
        </w:rPr>
        <w:t>W</w:t>
      </w:r>
      <w:r>
        <w:rPr>
          <w:sz w:val="24"/>
          <w:szCs w:val="24"/>
        </w:rPr>
        <w:t xml:space="preserve">S to identify and continue to vet the threatened and endangered species </w:t>
      </w:r>
      <w:r w:rsidR="00F860F5">
        <w:rPr>
          <w:sz w:val="24"/>
          <w:szCs w:val="24"/>
        </w:rPr>
        <w:t xml:space="preserve">and critical habitat </w:t>
      </w:r>
      <w:r>
        <w:rPr>
          <w:sz w:val="24"/>
          <w:szCs w:val="24"/>
        </w:rPr>
        <w:t>specific to the defined geographic area in consultation. The response activities in the matrix may be modified as necessary, depending on the activities</w:t>
      </w:r>
      <w:r w:rsidR="00741A7D">
        <w:rPr>
          <w:sz w:val="24"/>
          <w:szCs w:val="24"/>
        </w:rPr>
        <w:t xml:space="preserve"> and protocols</w:t>
      </w:r>
      <w:r>
        <w:rPr>
          <w:sz w:val="24"/>
          <w:szCs w:val="24"/>
        </w:rPr>
        <w:t xml:space="preserve"> specific to the region.</w:t>
      </w:r>
      <w:r w:rsidR="00741A7D">
        <w:rPr>
          <w:sz w:val="24"/>
          <w:szCs w:val="24"/>
        </w:rPr>
        <w:t xml:space="preserve"> The matrix may also be used to inform or facilitate emergency ESA Section 7 consultation.</w:t>
      </w:r>
    </w:p>
    <w:p w:rsidR="0077632C" w:rsidRPr="006943E6" w:rsidRDefault="0077632C">
      <w:pPr>
        <w:rPr>
          <w:sz w:val="24"/>
          <w:szCs w:val="24"/>
        </w:rPr>
      </w:pPr>
    </w:p>
    <w:sectPr w:rsidR="0077632C" w:rsidRPr="006943E6" w:rsidSect="009B4D9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F2" w:rsidRDefault="00AE58F2" w:rsidP="006943E6">
      <w:r>
        <w:separator/>
      </w:r>
    </w:p>
  </w:endnote>
  <w:endnote w:type="continuationSeparator" w:id="0">
    <w:p w:rsidR="00AE58F2" w:rsidRDefault="00AE58F2" w:rsidP="0069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D5" w:rsidRDefault="00B112C8" w:rsidP="00F860F5">
    <w:pPr>
      <w:pStyle w:val="Footer"/>
      <w:jc w:val="right"/>
    </w:pPr>
    <w:r>
      <w:t>8 May 2017</w:t>
    </w:r>
    <w:r w:rsidR="009F7CD5">
      <w:t>, V.</w:t>
    </w: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F2" w:rsidRDefault="00AE58F2" w:rsidP="006943E6">
      <w:r>
        <w:separator/>
      </w:r>
    </w:p>
  </w:footnote>
  <w:footnote w:type="continuationSeparator" w:id="0">
    <w:p w:rsidR="00AE58F2" w:rsidRDefault="00AE58F2" w:rsidP="0069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D5" w:rsidRPr="0038582A" w:rsidRDefault="009F7CD5" w:rsidP="006943E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Response Action Matrix Executive Summary</w:t>
    </w:r>
  </w:p>
  <w:p w:rsidR="009F7CD5" w:rsidRDefault="009F7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0D7"/>
    <w:multiLevelType w:val="hybridMultilevel"/>
    <w:tmpl w:val="875C5D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DF5653"/>
    <w:multiLevelType w:val="hybridMultilevel"/>
    <w:tmpl w:val="2E36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01CBD"/>
    <w:rsid w:val="00004C3C"/>
    <w:rsid w:val="00005102"/>
    <w:rsid w:val="0000529A"/>
    <w:rsid w:val="000052AC"/>
    <w:rsid w:val="00005F2C"/>
    <w:rsid w:val="00007E19"/>
    <w:rsid w:val="00010358"/>
    <w:rsid w:val="000121DE"/>
    <w:rsid w:val="000132F2"/>
    <w:rsid w:val="000149AA"/>
    <w:rsid w:val="000173C9"/>
    <w:rsid w:val="00026016"/>
    <w:rsid w:val="00032B1B"/>
    <w:rsid w:val="000330D7"/>
    <w:rsid w:val="000343CA"/>
    <w:rsid w:val="00044D63"/>
    <w:rsid w:val="00047809"/>
    <w:rsid w:val="00050029"/>
    <w:rsid w:val="000541C9"/>
    <w:rsid w:val="0005631B"/>
    <w:rsid w:val="00063743"/>
    <w:rsid w:val="000656AC"/>
    <w:rsid w:val="00065CFE"/>
    <w:rsid w:val="0006789A"/>
    <w:rsid w:val="00067EF3"/>
    <w:rsid w:val="000701E9"/>
    <w:rsid w:val="000717D5"/>
    <w:rsid w:val="00071F8A"/>
    <w:rsid w:val="000809FB"/>
    <w:rsid w:val="00080C30"/>
    <w:rsid w:val="00081D7E"/>
    <w:rsid w:val="0008664B"/>
    <w:rsid w:val="0008765F"/>
    <w:rsid w:val="00090957"/>
    <w:rsid w:val="0009628E"/>
    <w:rsid w:val="00096F55"/>
    <w:rsid w:val="000A1F5C"/>
    <w:rsid w:val="000A2C5A"/>
    <w:rsid w:val="000A380C"/>
    <w:rsid w:val="000A3EBE"/>
    <w:rsid w:val="000A4A09"/>
    <w:rsid w:val="000A4E8B"/>
    <w:rsid w:val="000A59A5"/>
    <w:rsid w:val="000A7C49"/>
    <w:rsid w:val="000B0470"/>
    <w:rsid w:val="000B0498"/>
    <w:rsid w:val="000C3C3A"/>
    <w:rsid w:val="000C4139"/>
    <w:rsid w:val="000C5025"/>
    <w:rsid w:val="000C62B8"/>
    <w:rsid w:val="000C6EE7"/>
    <w:rsid w:val="000D08F8"/>
    <w:rsid w:val="000D2975"/>
    <w:rsid w:val="000D2BFA"/>
    <w:rsid w:val="000D5EF5"/>
    <w:rsid w:val="000E1280"/>
    <w:rsid w:val="000E2FAD"/>
    <w:rsid w:val="000E394D"/>
    <w:rsid w:val="000E500F"/>
    <w:rsid w:val="000E6B19"/>
    <w:rsid w:val="000E775B"/>
    <w:rsid w:val="000F32A3"/>
    <w:rsid w:val="000F45CC"/>
    <w:rsid w:val="000F63EA"/>
    <w:rsid w:val="000F6C73"/>
    <w:rsid w:val="00101238"/>
    <w:rsid w:val="0010260F"/>
    <w:rsid w:val="00110BA8"/>
    <w:rsid w:val="0011196E"/>
    <w:rsid w:val="00111994"/>
    <w:rsid w:val="00113516"/>
    <w:rsid w:val="0011370F"/>
    <w:rsid w:val="001159DE"/>
    <w:rsid w:val="00121733"/>
    <w:rsid w:val="00124B81"/>
    <w:rsid w:val="001261BE"/>
    <w:rsid w:val="00126514"/>
    <w:rsid w:val="00126FBC"/>
    <w:rsid w:val="001307A8"/>
    <w:rsid w:val="00132136"/>
    <w:rsid w:val="001324A8"/>
    <w:rsid w:val="00133B6A"/>
    <w:rsid w:val="001340DF"/>
    <w:rsid w:val="00134408"/>
    <w:rsid w:val="00136811"/>
    <w:rsid w:val="00136C17"/>
    <w:rsid w:val="00140C87"/>
    <w:rsid w:val="001456B8"/>
    <w:rsid w:val="00145C3D"/>
    <w:rsid w:val="00151F96"/>
    <w:rsid w:val="00153355"/>
    <w:rsid w:val="001544D2"/>
    <w:rsid w:val="0015587C"/>
    <w:rsid w:val="00156334"/>
    <w:rsid w:val="00160D2F"/>
    <w:rsid w:val="001611FB"/>
    <w:rsid w:val="00161A72"/>
    <w:rsid w:val="00162D73"/>
    <w:rsid w:val="00162FF3"/>
    <w:rsid w:val="001632FE"/>
    <w:rsid w:val="00163D0D"/>
    <w:rsid w:val="001658BC"/>
    <w:rsid w:val="00174512"/>
    <w:rsid w:val="001750A4"/>
    <w:rsid w:val="00175D2B"/>
    <w:rsid w:val="00176D71"/>
    <w:rsid w:val="00181821"/>
    <w:rsid w:val="0018308C"/>
    <w:rsid w:val="00183E56"/>
    <w:rsid w:val="00187853"/>
    <w:rsid w:val="00193196"/>
    <w:rsid w:val="00193626"/>
    <w:rsid w:val="00194651"/>
    <w:rsid w:val="001A1834"/>
    <w:rsid w:val="001A19A4"/>
    <w:rsid w:val="001A35BC"/>
    <w:rsid w:val="001A3BBA"/>
    <w:rsid w:val="001A44A0"/>
    <w:rsid w:val="001A4695"/>
    <w:rsid w:val="001A46E9"/>
    <w:rsid w:val="001A610A"/>
    <w:rsid w:val="001A61BA"/>
    <w:rsid w:val="001B05FE"/>
    <w:rsid w:val="001B2D30"/>
    <w:rsid w:val="001B4247"/>
    <w:rsid w:val="001B61DB"/>
    <w:rsid w:val="001B7EDC"/>
    <w:rsid w:val="001C019F"/>
    <w:rsid w:val="001C15AF"/>
    <w:rsid w:val="001C16D7"/>
    <w:rsid w:val="001C1E1D"/>
    <w:rsid w:val="001C1E57"/>
    <w:rsid w:val="001C28D6"/>
    <w:rsid w:val="001C31EB"/>
    <w:rsid w:val="001C32B6"/>
    <w:rsid w:val="001C3832"/>
    <w:rsid w:val="001C669E"/>
    <w:rsid w:val="001C6C43"/>
    <w:rsid w:val="001D1796"/>
    <w:rsid w:val="001D35BC"/>
    <w:rsid w:val="001D36AF"/>
    <w:rsid w:val="001D375B"/>
    <w:rsid w:val="001D6827"/>
    <w:rsid w:val="001D77B6"/>
    <w:rsid w:val="001E0827"/>
    <w:rsid w:val="001E153E"/>
    <w:rsid w:val="001E1C88"/>
    <w:rsid w:val="001E4E6E"/>
    <w:rsid w:val="001E5450"/>
    <w:rsid w:val="001E6D04"/>
    <w:rsid w:val="001F49F6"/>
    <w:rsid w:val="001F5E46"/>
    <w:rsid w:val="001F64B5"/>
    <w:rsid w:val="001F7FC6"/>
    <w:rsid w:val="002024CD"/>
    <w:rsid w:val="00204732"/>
    <w:rsid w:val="00204A25"/>
    <w:rsid w:val="00207F44"/>
    <w:rsid w:val="0021022E"/>
    <w:rsid w:val="0021103F"/>
    <w:rsid w:val="0021271C"/>
    <w:rsid w:val="00214D57"/>
    <w:rsid w:val="00217135"/>
    <w:rsid w:val="0022086A"/>
    <w:rsid w:val="00223362"/>
    <w:rsid w:val="00223801"/>
    <w:rsid w:val="002245EB"/>
    <w:rsid w:val="002320AA"/>
    <w:rsid w:val="002338F7"/>
    <w:rsid w:val="002339DF"/>
    <w:rsid w:val="002360E4"/>
    <w:rsid w:val="00237CE6"/>
    <w:rsid w:val="002401EC"/>
    <w:rsid w:val="00240EC4"/>
    <w:rsid w:val="00245CC4"/>
    <w:rsid w:val="00246ECD"/>
    <w:rsid w:val="00255427"/>
    <w:rsid w:val="00256D13"/>
    <w:rsid w:val="0026377B"/>
    <w:rsid w:val="00263DE8"/>
    <w:rsid w:val="00264034"/>
    <w:rsid w:val="00264FA1"/>
    <w:rsid w:val="0027063C"/>
    <w:rsid w:val="00270745"/>
    <w:rsid w:val="0027077F"/>
    <w:rsid w:val="00275F7C"/>
    <w:rsid w:val="00276B33"/>
    <w:rsid w:val="00282F5B"/>
    <w:rsid w:val="00292DE9"/>
    <w:rsid w:val="002947F0"/>
    <w:rsid w:val="002958BD"/>
    <w:rsid w:val="00297B17"/>
    <w:rsid w:val="002A70BF"/>
    <w:rsid w:val="002B129D"/>
    <w:rsid w:val="002B1379"/>
    <w:rsid w:val="002B5990"/>
    <w:rsid w:val="002B6190"/>
    <w:rsid w:val="002B7931"/>
    <w:rsid w:val="002C129D"/>
    <w:rsid w:val="002C7BC8"/>
    <w:rsid w:val="002C7CBD"/>
    <w:rsid w:val="002D1F4C"/>
    <w:rsid w:val="002D4042"/>
    <w:rsid w:val="002D43E6"/>
    <w:rsid w:val="002D72E2"/>
    <w:rsid w:val="002E1FB2"/>
    <w:rsid w:val="002E6926"/>
    <w:rsid w:val="002F35F4"/>
    <w:rsid w:val="0030018F"/>
    <w:rsid w:val="00305A2F"/>
    <w:rsid w:val="00306516"/>
    <w:rsid w:val="00310033"/>
    <w:rsid w:val="00310F9D"/>
    <w:rsid w:val="003110B4"/>
    <w:rsid w:val="0031126D"/>
    <w:rsid w:val="003124AA"/>
    <w:rsid w:val="00314B55"/>
    <w:rsid w:val="0031650B"/>
    <w:rsid w:val="00321F6B"/>
    <w:rsid w:val="00323A4D"/>
    <w:rsid w:val="00324865"/>
    <w:rsid w:val="003265D5"/>
    <w:rsid w:val="0032669B"/>
    <w:rsid w:val="00326BE1"/>
    <w:rsid w:val="00334018"/>
    <w:rsid w:val="0033412F"/>
    <w:rsid w:val="00334C6B"/>
    <w:rsid w:val="00334FCA"/>
    <w:rsid w:val="00336BD8"/>
    <w:rsid w:val="0034002E"/>
    <w:rsid w:val="00342023"/>
    <w:rsid w:val="003477F9"/>
    <w:rsid w:val="00351019"/>
    <w:rsid w:val="00351C3E"/>
    <w:rsid w:val="003541F8"/>
    <w:rsid w:val="00355630"/>
    <w:rsid w:val="003565E9"/>
    <w:rsid w:val="00357CB6"/>
    <w:rsid w:val="003631B9"/>
    <w:rsid w:val="00363F9C"/>
    <w:rsid w:val="00364EC3"/>
    <w:rsid w:val="00365490"/>
    <w:rsid w:val="00365549"/>
    <w:rsid w:val="00367463"/>
    <w:rsid w:val="0037281E"/>
    <w:rsid w:val="00372AA0"/>
    <w:rsid w:val="00375EA2"/>
    <w:rsid w:val="00382FA4"/>
    <w:rsid w:val="00383EFA"/>
    <w:rsid w:val="0038457B"/>
    <w:rsid w:val="00384AF5"/>
    <w:rsid w:val="003879F4"/>
    <w:rsid w:val="003909D5"/>
    <w:rsid w:val="003915A4"/>
    <w:rsid w:val="0039240E"/>
    <w:rsid w:val="0039373F"/>
    <w:rsid w:val="0039596E"/>
    <w:rsid w:val="003A058A"/>
    <w:rsid w:val="003A08BC"/>
    <w:rsid w:val="003A520E"/>
    <w:rsid w:val="003A64BB"/>
    <w:rsid w:val="003A6E34"/>
    <w:rsid w:val="003A72AA"/>
    <w:rsid w:val="003B12EE"/>
    <w:rsid w:val="003B133F"/>
    <w:rsid w:val="003B55A6"/>
    <w:rsid w:val="003C04D7"/>
    <w:rsid w:val="003C0E69"/>
    <w:rsid w:val="003C208A"/>
    <w:rsid w:val="003C312B"/>
    <w:rsid w:val="003D0765"/>
    <w:rsid w:val="003D21DD"/>
    <w:rsid w:val="003D3FF2"/>
    <w:rsid w:val="003D5BC1"/>
    <w:rsid w:val="003D670A"/>
    <w:rsid w:val="003E0773"/>
    <w:rsid w:val="003E0E1E"/>
    <w:rsid w:val="003E0F90"/>
    <w:rsid w:val="003E1207"/>
    <w:rsid w:val="003E5B23"/>
    <w:rsid w:val="003E65F4"/>
    <w:rsid w:val="003E7C0B"/>
    <w:rsid w:val="003F0011"/>
    <w:rsid w:val="003F1A54"/>
    <w:rsid w:val="003F1B6F"/>
    <w:rsid w:val="003F1EE7"/>
    <w:rsid w:val="003F4F6D"/>
    <w:rsid w:val="003F67A9"/>
    <w:rsid w:val="004006BF"/>
    <w:rsid w:val="00401291"/>
    <w:rsid w:val="0040212A"/>
    <w:rsid w:val="00404124"/>
    <w:rsid w:val="0040476E"/>
    <w:rsid w:val="004109AF"/>
    <w:rsid w:val="004120F3"/>
    <w:rsid w:val="0041281F"/>
    <w:rsid w:val="00412A4B"/>
    <w:rsid w:val="00412BEB"/>
    <w:rsid w:val="00416E42"/>
    <w:rsid w:val="004178A9"/>
    <w:rsid w:val="00420738"/>
    <w:rsid w:val="004245C7"/>
    <w:rsid w:val="00425177"/>
    <w:rsid w:val="00426E9A"/>
    <w:rsid w:val="0043132D"/>
    <w:rsid w:val="00431357"/>
    <w:rsid w:val="0043205B"/>
    <w:rsid w:val="00432203"/>
    <w:rsid w:val="004341A8"/>
    <w:rsid w:val="00435856"/>
    <w:rsid w:val="004370EF"/>
    <w:rsid w:val="004377E7"/>
    <w:rsid w:val="00442287"/>
    <w:rsid w:val="0044304C"/>
    <w:rsid w:val="00443D83"/>
    <w:rsid w:val="00444026"/>
    <w:rsid w:val="004507FF"/>
    <w:rsid w:val="00453D1E"/>
    <w:rsid w:val="00454518"/>
    <w:rsid w:val="00454EEE"/>
    <w:rsid w:val="00456AC0"/>
    <w:rsid w:val="004621E1"/>
    <w:rsid w:val="00465EA7"/>
    <w:rsid w:val="00467214"/>
    <w:rsid w:val="0047070C"/>
    <w:rsid w:val="00471944"/>
    <w:rsid w:val="00473873"/>
    <w:rsid w:val="00473B86"/>
    <w:rsid w:val="004800DF"/>
    <w:rsid w:val="00482403"/>
    <w:rsid w:val="00484270"/>
    <w:rsid w:val="00484368"/>
    <w:rsid w:val="004864CD"/>
    <w:rsid w:val="0049019C"/>
    <w:rsid w:val="0049148A"/>
    <w:rsid w:val="00491FE0"/>
    <w:rsid w:val="0049332A"/>
    <w:rsid w:val="0049334F"/>
    <w:rsid w:val="00493BD3"/>
    <w:rsid w:val="00493D1D"/>
    <w:rsid w:val="00494CE7"/>
    <w:rsid w:val="00497742"/>
    <w:rsid w:val="004A0300"/>
    <w:rsid w:val="004B13A6"/>
    <w:rsid w:val="004B186D"/>
    <w:rsid w:val="004B3B9F"/>
    <w:rsid w:val="004B3BC4"/>
    <w:rsid w:val="004B4905"/>
    <w:rsid w:val="004B506B"/>
    <w:rsid w:val="004B55BD"/>
    <w:rsid w:val="004B5ACD"/>
    <w:rsid w:val="004B6AA1"/>
    <w:rsid w:val="004C1C15"/>
    <w:rsid w:val="004C3879"/>
    <w:rsid w:val="004C3918"/>
    <w:rsid w:val="004C5011"/>
    <w:rsid w:val="004C5AF1"/>
    <w:rsid w:val="004C7827"/>
    <w:rsid w:val="004C7AC6"/>
    <w:rsid w:val="004D2200"/>
    <w:rsid w:val="004D54C3"/>
    <w:rsid w:val="004D5561"/>
    <w:rsid w:val="004D6736"/>
    <w:rsid w:val="004D6FEF"/>
    <w:rsid w:val="004E0E17"/>
    <w:rsid w:val="004E0F87"/>
    <w:rsid w:val="004E1F7B"/>
    <w:rsid w:val="004E24E8"/>
    <w:rsid w:val="004E27E6"/>
    <w:rsid w:val="004E7C76"/>
    <w:rsid w:val="004F14FE"/>
    <w:rsid w:val="004F2898"/>
    <w:rsid w:val="004F3816"/>
    <w:rsid w:val="004F5697"/>
    <w:rsid w:val="004F586F"/>
    <w:rsid w:val="004F64CD"/>
    <w:rsid w:val="00500D08"/>
    <w:rsid w:val="005010F2"/>
    <w:rsid w:val="00504429"/>
    <w:rsid w:val="00504C9F"/>
    <w:rsid w:val="00511D51"/>
    <w:rsid w:val="00512253"/>
    <w:rsid w:val="005135C9"/>
    <w:rsid w:val="00513EC5"/>
    <w:rsid w:val="0052369B"/>
    <w:rsid w:val="00524A4D"/>
    <w:rsid w:val="00531EEA"/>
    <w:rsid w:val="0053235C"/>
    <w:rsid w:val="0053526E"/>
    <w:rsid w:val="005373A6"/>
    <w:rsid w:val="00543571"/>
    <w:rsid w:val="00543BBE"/>
    <w:rsid w:val="0054489C"/>
    <w:rsid w:val="00544D45"/>
    <w:rsid w:val="00552AD2"/>
    <w:rsid w:val="00553A0F"/>
    <w:rsid w:val="00554399"/>
    <w:rsid w:val="00557A69"/>
    <w:rsid w:val="00557F7D"/>
    <w:rsid w:val="00560A20"/>
    <w:rsid w:val="00560E9C"/>
    <w:rsid w:val="005628F5"/>
    <w:rsid w:val="005710C5"/>
    <w:rsid w:val="005728DE"/>
    <w:rsid w:val="00572E65"/>
    <w:rsid w:val="00577CAB"/>
    <w:rsid w:val="0058224D"/>
    <w:rsid w:val="00586369"/>
    <w:rsid w:val="00586632"/>
    <w:rsid w:val="00587853"/>
    <w:rsid w:val="00587FA2"/>
    <w:rsid w:val="005941B0"/>
    <w:rsid w:val="005966CA"/>
    <w:rsid w:val="00597C73"/>
    <w:rsid w:val="005A0610"/>
    <w:rsid w:val="005A2C7E"/>
    <w:rsid w:val="005A42C8"/>
    <w:rsid w:val="005A673F"/>
    <w:rsid w:val="005B4A81"/>
    <w:rsid w:val="005B6509"/>
    <w:rsid w:val="005B6641"/>
    <w:rsid w:val="005C2880"/>
    <w:rsid w:val="005C7EB0"/>
    <w:rsid w:val="005D0565"/>
    <w:rsid w:val="005D444A"/>
    <w:rsid w:val="005E03B5"/>
    <w:rsid w:val="005E2FD2"/>
    <w:rsid w:val="005E42A9"/>
    <w:rsid w:val="005E5F27"/>
    <w:rsid w:val="005F0945"/>
    <w:rsid w:val="005F2378"/>
    <w:rsid w:val="005F2A8E"/>
    <w:rsid w:val="005F74FB"/>
    <w:rsid w:val="005F761B"/>
    <w:rsid w:val="00600BCD"/>
    <w:rsid w:val="0060151E"/>
    <w:rsid w:val="00602C70"/>
    <w:rsid w:val="00603783"/>
    <w:rsid w:val="00606E40"/>
    <w:rsid w:val="0061308E"/>
    <w:rsid w:val="006140BD"/>
    <w:rsid w:val="0061629B"/>
    <w:rsid w:val="0061648A"/>
    <w:rsid w:val="0061706F"/>
    <w:rsid w:val="0062181B"/>
    <w:rsid w:val="00634071"/>
    <w:rsid w:val="00634AD8"/>
    <w:rsid w:val="00635E60"/>
    <w:rsid w:val="00640FB2"/>
    <w:rsid w:val="00641278"/>
    <w:rsid w:val="006421D1"/>
    <w:rsid w:val="0064453C"/>
    <w:rsid w:val="00645521"/>
    <w:rsid w:val="006457DC"/>
    <w:rsid w:val="00653AE7"/>
    <w:rsid w:val="00653C87"/>
    <w:rsid w:val="00653FA6"/>
    <w:rsid w:val="00654183"/>
    <w:rsid w:val="0065516D"/>
    <w:rsid w:val="006641E5"/>
    <w:rsid w:val="00664363"/>
    <w:rsid w:val="006708EB"/>
    <w:rsid w:val="00670ED7"/>
    <w:rsid w:val="00672E04"/>
    <w:rsid w:val="00673417"/>
    <w:rsid w:val="00674AE9"/>
    <w:rsid w:val="00676C08"/>
    <w:rsid w:val="00680AAB"/>
    <w:rsid w:val="0068116F"/>
    <w:rsid w:val="00681B5F"/>
    <w:rsid w:val="0068579C"/>
    <w:rsid w:val="00690D14"/>
    <w:rsid w:val="00691BCF"/>
    <w:rsid w:val="00692621"/>
    <w:rsid w:val="00692AD1"/>
    <w:rsid w:val="00693F59"/>
    <w:rsid w:val="006943E6"/>
    <w:rsid w:val="00695F83"/>
    <w:rsid w:val="00696201"/>
    <w:rsid w:val="00697AF4"/>
    <w:rsid w:val="006A5482"/>
    <w:rsid w:val="006A7848"/>
    <w:rsid w:val="006B3C4D"/>
    <w:rsid w:val="006B4C9A"/>
    <w:rsid w:val="006B5D5E"/>
    <w:rsid w:val="006B6D6E"/>
    <w:rsid w:val="006C24A2"/>
    <w:rsid w:val="006C35CD"/>
    <w:rsid w:val="006D0B9B"/>
    <w:rsid w:val="006D0C8C"/>
    <w:rsid w:val="006D1698"/>
    <w:rsid w:val="006D462C"/>
    <w:rsid w:val="006D6F4D"/>
    <w:rsid w:val="006E0656"/>
    <w:rsid w:val="006E31A6"/>
    <w:rsid w:val="006E762D"/>
    <w:rsid w:val="006E7989"/>
    <w:rsid w:val="006E7FD5"/>
    <w:rsid w:val="006F3BFB"/>
    <w:rsid w:val="006F7D37"/>
    <w:rsid w:val="00700241"/>
    <w:rsid w:val="0070506D"/>
    <w:rsid w:val="00707C34"/>
    <w:rsid w:val="00716100"/>
    <w:rsid w:val="007217EE"/>
    <w:rsid w:val="00722423"/>
    <w:rsid w:val="00722D38"/>
    <w:rsid w:val="00722FBD"/>
    <w:rsid w:val="00723AAF"/>
    <w:rsid w:val="00724141"/>
    <w:rsid w:val="00724652"/>
    <w:rsid w:val="007266D7"/>
    <w:rsid w:val="00730C5B"/>
    <w:rsid w:val="0073112A"/>
    <w:rsid w:val="00737390"/>
    <w:rsid w:val="007376DA"/>
    <w:rsid w:val="00740633"/>
    <w:rsid w:val="00741A7D"/>
    <w:rsid w:val="00743CB7"/>
    <w:rsid w:val="00745156"/>
    <w:rsid w:val="00745BEA"/>
    <w:rsid w:val="00746F7E"/>
    <w:rsid w:val="0074771B"/>
    <w:rsid w:val="0075093A"/>
    <w:rsid w:val="00754A4A"/>
    <w:rsid w:val="00760B9F"/>
    <w:rsid w:val="00763788"/>
    <w:rsid w:val="00763838"/>
    <w:rsid w:val="00765B91"/>
    <w:rsid w:val="00766B00"/>
    <w:rsid w:val="00770761"/>
    <w:rsid w:val="00771A2B"/>
    <w:rsid w:val="00772344"/>
    <w:rsid w:val="00772D0A"/>
    <w:rsid w:val="00774F08"/>
    <w:rsid w:val="0077632C"/>
    <w:rsid w:val="0078132C"/>
    <w:rsid w:val="007819D6"/>
    <w:rsid w:val="0078299C"/>
    <w:rsid w:val="00785462"/>
    <w:rsid w:val="007858E4"/>
    <w:rsid w:val="00792079"/>
    <w:rsid w:val="0079753E"/>
    <w:rsid w:val="00797616"/>
    <w:rsid w:val="007A0AE7"/>
    <w:rsid w:val="007A416D"/>
    <w:rsid w:val="007A4530"/>
    <w:rsid w:val="007A4B22"/>
    <w:rsid w:val="007A7EDD"/>
    <w:rsid w:val="007B12CB"/>
    <w:rsid w:val="007B1B99"/>
    <w:rsid w:val="007B6B52"/>
    <w:rsid w:val="007B7607"/>
    <w:rsid w:val="007C09A3"/>
    <w:rsid w:val="007C304A"/>
    <w:rsid w:val="007C4592"/>
    <w:rsid w:val="007C5A3B"/>
    <w:rsid w:val="007C63E8"/>
    <w:rsid w:val="007C7B56"/>
    <w:rsid w:val="007D1775"/>
    <w:rsid w:val="007D3EA7"/>
    <w:rsid w:val="007E208B"/>
    <w:rsid w:val="007E4660"/>
    <w:rsid w:val="007E651B"/>
    <w:rsid w:val="007F0377"/>
    <w:rsid w:val="007F185A"/>
    <w:rsid w:val="007F3D2D"/>
    <w:rsid w:val="00814964"/>
    <w:rsid w:val="00815CDA"/>
    <w:rsid w:val="00817710"/>
    <w:rsid w:val="008226D5"/>
    <w:rsid w:val="0082283E"/>
    <w:rsid w:val="00826EF4"/>
    <w:rsid w:val="00826F1A"/>
    <w:rsid w:val="0082759E"/>
    <w:rsid w:val="00831CD5"/>
    <w:rsid w:val="00832471"/>
    <w:rsid w:val="00834397"/>
    <w:rsid w:val="00835198"/>
    <w:rsid w:val="00836807"/>
    <w:rsid w:val="00843F1E"/>
    <w:rsid w:val="00844C3E"/>
    <w:rsid w:val="00850614"/>
    <w:rsid w:val="00852148"/>
    <w:rsid w:val="00853474"/>
    <w:rsid w:val="008557F6"/>
    <w:rsid w:val="008559DF"/>
    <w:rsid w:val="008667FC"/>
    <w:rsid w:val="0087167D"/>
    <w:rsid w:val="0087173C"/>
    <w:rsid w:val="0087489B"/>
    <w:rsid w:val="00875A98"/>
    <w:rsid w:val="0087736D"/>
    <w:rsid w:val="0088235D"/>
    <w:rsid w:val="008908E2"/>
    <w:rsid w:val="00890E75"/>
    <w:rsid w:val="0089208C"/>
    <w:rsid w:val="00893D68"/>
    <w:rsid w:val="008961E5"/>
    <w:rsid w:val="00897B49"/>
    <w:rsid w:val="008A572F"/>
    <w:rsid w:val="008A7CA4"/>
    <w:rsid w:val="008B09D2"/>
    <w:rsid w:val="008B10E4"/>
    <w:rsid w:val="008B1117"/>
    <w:rsid w:val="008B2887"/>
    <w:rsid w:val="008B2C90"/>
    <w:rsid w:val="008B2FA1"/>
    <w:rsid w:val="008B329F"/>
    <w:rsid w:val="008B3AE8"/>
    <w:rsid w:val="008B5750"/>
    <w:rsid w:val="008C05BD"/>
    <w:rsid w:val="008C2B14"/>
    <w:rsid w:val="008C407E"/>
    <w:rsid w:val="008C4A06"/>
    <w:rsid w:val="008C6840"/>
    <w:rsid w:val="008C7526"/>
    <w:rsid w:val="008D6BF2"/>
    <w:rsid w:val="008D793F"/>
    <w:rsid w:val="008E1917"/>
    <w:rsid w:val="008E2C81"/>
    <w:rsid w:val="008E2D3A"/>
    <w:rsid w:val="008E2FE5"/>
    <w:rsid w:val="008E4221"/>
    <w:rsid w:val="008F2619"/>
    <w:rsid w:val="008F38A6"/>
    <w:rsid w:val="008F4EF7"/>
    <w:rsid w:val="008F51E0"/>
    <w:rsid w:val="008F6811"/>
    <w:rsid w:val="009026DE"/>
    <w:rsid w:val="00902CFB"/>
    <w:rsid w:val="00906D69"/>
    <w:rsid w:val="0091019B"/>
    <w:rsid w:val="009133C7"/>
    <w:rsid w:val="009141DC"/>
    <w:rsid w:val="00914DA4"/>
    <w:rsid w:val="009206AA"/>
    <w:rsid w:val="00922048"/>
    <w:rsid w:val="0092438C"/>
    <w:rsid w:val="00925438"/>
    <w:rsid w:val="00927E39"/>
    <w:rsid w:val="00927FBF"/>
    <w:rsid w:val="00932039"/>
    <w:rsid w:val="00932F3C"/>
    <w:rsid w:val="009344AE"/>
    <w:rsid w:val="00935E92"/>
    <w:rsid w:val="00941FA5"/>
    <w:rsid w:val="00942E5D"/>
    <w:rsid w:val="00943FEB"/>
    <w:rsid w:val="009454AA"/>
    <w:rsid w:val="00954AC5"/>
    <w:rsid w:val="0095532B"/>
    <w:rsid w:val="0095740A"/>
    <w:rsid w:val="00960EF8"/>
    <w:rsid w:val="009622C4"/>
    <w:rsid w:val="0096291D"/>
    <w:rsid w:val="00963FF4"/>
    <w:rsid w:val="00964164"/>
    <w:rsid w:val="00965BC1"/>
    <w:rsid w:val="00965C49"/>
    <w:rsid w:val="0096635D"/>
    <w:rsid w:val="009666A8"/>
    <w:rsid w:val="00971027"/>
    <w:rsid w:val="009717D6"/>
    <w:rsid w:val="009731D4"/>
    <w:rsid w:val="0097327F"/>
    <w:rsid w:val="009736DF"/>
    <w:rsid w:val="00973B64"/>
    <w:rsid w:val="00976BF6"/>
    <w:rsid w:val="00980610"/>
    <w:rsid w:val="009862A9"/>
    <w:rsid w:val="00986A75"/>
    <w:rsid w:val="00986F97"/>
    <w:rsid w:val="0099539D"/>
    <w:rsid w:val="009974FE"/>
    <w:rsid w:val="00997660"/>
    <w:rsid w:val="009A12C4"/>
    <w:rsid w:val="009A1D44"/>
    <w:rsid w:val="009B0F0A"/>
    <w:rsid w:val="009B4D95"/>
    <w:rsid w:val="009B557B"/>
    <w:rsid w:val="009C4ACE"/>
    <w:rsid w:val="009D12FB"/>
    <w:rsid w:val="009D20C4"/>
    <w:rsid w:val="009D2E8C"/>
    <w:rsid w:val="009D39B9"/>
    <w:rsid w:val="009D3D95"/>
    <w:rsid w:val="009D6D70"/>
    <w:rsid w:val="009E1557"/>
    <w:rsid w:val="009E463B"/>
    <w:rsid w:val="009F158E"/>
    <w:rsid w:val="009F3D8C"/>
    <w:rsid w:val="009F4726"/>
    <w:rsid w:val="009F52AC"/>
    <w:rsid w:val="009F633F"/>
    <w:rsid w:val="009F635F"/>
    <w:rsid w:val="009F7CD5"/>
    <w:rsid w:val="00A0004C"/>
    <w:rsid w:val="00A00AE4"/>
    <w:rsid w:val="00A0205F"/>
    <w:rsid w:val="00A02954"/>
    <w:rsid w:val="00A03A94"/>
    <w:rsid w:val="00A06EE6"/>
    <w:rsid w:val="00A0735E"/>
    <w:rsid w:val="00A12CEF"/>
    <w:rsid w:val="00A12DCD"/>
    <w:rsid w:val="00A14941"/>
    <w:rsid w:val="00A150C4"/>
    <w:rsid w:val="00A164C3"/>
    <w:rsid w:val="00A22016"/>
    <w:rsid w:val="00A22331"/>
    <w:rsid w:val="00A22421"/>
    <w:rsid w:val="00A24E7E"/>
    <w:rsid w:val="00A26718"/>
    <w:rsid w:val="00A26DC6"/>
    <w:rsid w:val="00A314DB"/>
    <w:rsid w:val="00A314DD"/>
    <w:rsid w:val="00A3388A"/>
    <w:rsid w:val="00A353EA"/>
    <w:rsid w:val="00A360E5"/>
    <w:rsid w:val="00A40D67"/>
    <w:rsid w:val="00A413A6"/>
    <w:rsid w:val="00A45689"/>
    <w:rsid w:val="00A46397"/>
    <w:rsid w:val="00A50CF6"/>
    <w:rsid w:val="00A53358"/>
    <w:rsid w:val="00A56205"/>
    <w:rsid w:val="00A5634C"/>
    <w:rsid w:val="00A5688F"/>
    <w:rsid w:val="00A56D5B"/>
    <w:rsid w:val="00A6086F"/>
    <w:rsid w:val="00A634E4"/>
    <w:rsid w:val="00A64028"/>
    <w:rsid w:val="00A6635B"/>
    <w:rsid w:val="00A71A70"/>
    <w:rsid w:val="00A73393"/>
    <w:rsid w:val="00A8024D"/>
    <w:rsid w:val="00A80F6A"/>
    <w:rsid w:val="00A82C00"/>
    <w:rsid w:val="00A87532"/>
    <w:rsid w:val="00A909A9"/>
    <w:rsid w:val="00A931DE"/>
    <w:rsid w:val="00A93BAB"/>
    <w:rsid w:val="00A97CF2"/>
    <w:rsid w:val="00AA180A"/>
    <w:rsid w:val="00AA2908"/>
    <w:rsid w:val="00AA5D04"/>
    <w:rsid w:val="00AA71DF"/>
    <w:rsid w:val="00AA7BD9"/>
    <w:rsid w:val="00AB0082"/>
    <w:rsid w:val="00AB111D"/>
    <w:rsid w:val="00AB2D22"/>
    <w:rsid w:val="00AB5356"/>
    <w:rsid w:val="00AB6E19"/>
    <w:rsid w:val="00AC23D4"/>
    <w:rsid w:val="00AC7CCF"/>
    <w:rsid w:val="00AD03D6"/>
    <w:rsid w:val="00AD23AD"/>
    <w:rsid w:val="00AD2CB7"/>
    <w:rsid w:val="00AD3E51"/>
    <w:rsid w:val="00AD4061"/>
    <w:rsid w:val="00AD4B34"/>
    <w:rsid w:val="00AD4C3A"/>
    <w:rsid w:val="00AE0C23"/>
    <w:rsid w:val="00AE11A1"/>
    <w:rsid w:val="00AE5042"/>
    <w:rsid w:val="00AE58F2"/>
    <w:rsid w:val="00AE7E08"/>
    <w:rsid w:val="00AF09CE"/>
    <w:rsid w:val="00B00FB8"/>
    <w:rsid w:val="00B0299F"/>
    <w:rsid w:val="00B02DA9"/>
    <w:rsid w:val="00B0448C"/>
    <w:rsid w:val="00B05D6A"/>
    <w:rsid w:val="00B06166"/>
    <w:rsid w:val="00B06A16"/>
    <w:rsid w:val="00B06C04"/>
    <w:rsid w:val="00B0796A"/>
    <w:rsid w:val="00B112C8"/>
    <w:rsid w:val="00B15A6C"/>
    <w:rsid w:val="00B203F6"/>
    <w:rsid w:val="00B20675"/>
    <w:rsid w:val="00B217BF"/>
    <w:rsid w:val="00B22E03"/>
    <w:rsid w:val="00B235ED"/>
    <w:rsid w:val="00B24B75"/>
    <w:rsid w:val="00B25294"/>
    <w:rsid w:val="00B256F0"/>
    <w:rsid w:val="00B27892"/>
    <w:rsid w:val="00B302F5"/>
    <w:rsid w:val="00B30A34"/>
    <w:rsid w:val="00B32E12"/>
    <w:rsid w:val="00B360EA"/>
    <w:rsid w:val="00B362EB"/>
    <w:rsid w:val="00B4366E"/>
    <w:rsid w:val="00B44B97"/>
    <w:rsid w:val="00B45985"/>
    <w:rsid w:val="00B467A6"/>
    <w:rsid w:val="00B4686B"/>
    <w:rsid w:val="00B4761F"/>
    <w:rsid w:val="00B5066D"/>
    <w:rsid w:val="00B525F5"/>
    <w:rsid w:val="00B539C6"/>
    <w:rsid w:val="00B5531D"/>
    <w:rsid w:val="00B556FA"/>
    <w:rsid w:val="00B56F2D"/>
    <w:rsid w:val="00B5759E"/>
    <w:rsid w:val="00B649B8"/>
    <w:rsid w:val="00B67E23"/>
    <w:rsid w:val="00B71768"/>
    <w:rsid w:val="00B71CC1"/>
    <w:rsid w:val="00B73DA5"/>
    <w:rsid w:val="00B848C5"/>
    <w:rsid w:val="00B87897"/>
    <w:rsid w:val="00B909F0"/>
    <w:rsid w:val="00B91D8E"/>
    <w:rsid w:val="00B9288C"/>
    <w:rsid w:val="00B939D6"/>
    <w:rsid w:val="00BA0404"/>
    <w:rsid w:val="00BA6A88"/>
    <w:rsid w:val="00BA6D0C"/>
    <w:rsid w:val="00BB0E07"/>
    <w:rsid w:val="00BB2CFC"/>
    <w:rsid w:val="00BB2EF9"/>
    <w:rsid w:val="00BB5388"/>
    <w:rsid w:val="00BB6B88"/>
    <w:rsid w:val="00BB6E53"/>
    <w:rsid w:val="00BC206A"/>
    <w:rsid w:val="00BC2327"/>
    <w:rsid w:val="00BC298A"/>
    <w:rsid w:val="00BC40A8"/>
    <w:rsid w:val="00BC4276"/>
    <w:rsid w:val="00BC7238"/>
    <w:rsid w:val="00BD0FD9"/>
    <w:rsid w:val="00BD197D"/>
    <w:rsid w:val="00BD3A4D"/>
    <w:rsid w:val="00BD6551"/>
    <w:rsid w:val="00BD7CCC"/>
    <w:rsid w:val="00BE33AE"/>
    <w:rsid w:val="00BE3A5A"/>
    <w:rsid w:val="00BE7649"/>
    <w:rsid w:val="00BF07B9"/>
    <w:rsid w:val="00BF0BD0"/>
    <w:rsid w:val="00BF19E8"/>
    <w:rsid w:val="00BF2899"/>
    <w:rsid w:val="00BF40F7"/>
    <w:rsid w:val="00BF556E"/>
    <w:rsid w:val="00BF5F6C"/>
    <w:rsid w:val="00C0018F"/>
    <w:rsid w:val="00C0089A"/>
    <w:rsid w:val="00C02995"/>
    <w:rsid w:val="00C04664"/>
    <w:rsid w:val="00C049FF"/>
    <w:rsid w:val="00C05D1B"/>
    <w:rsid w:val="00C05F5B"/>
    <w:rsid w:val="00C06651"/>
    <w:rsid w:val="00C06ACA"/>
    <w:rsid w:val="00C07DF4"/>
    <w:rsid w:val="00C11D24"/>
    <w:rsid w:val="00C120BE"/>
    <w:rsid w:val="00C146F6"/>
    <w:rsid w:val="00C14B71"/>
    <w:rsid w:val="00C166A7"/>
    <w:rsid w:val="00C16A75"/>
    <w:rsid w:val="00C219FA"/>
    <w:rsid w:val="00C23175"/>
    <w:rsid w:val="00C231A2"/>
    <w:rsid w:val="00C23F91"/>
    <w:rsid w:val="00C24A3E"/>
    <w:rsid w:val="00C25D29"/>
    <w:rsid w:val="00C31359"/>
    <w:rsid w:val="00C33EA2"/>
    <w:rsid w:val="00C36D56"/>
    <w:rsid w:val="00C3749C"/>
    <w:rsid w:val="00C418E6"/>
    <w:rsid w:val="00C41BBF"/>
    <w:rsid w:val="00C4404F"/>
    <w:rsid w:val="00C44179"/>
    <w:rsid w:val="00C441C1"/>
    <w:rsid w:val="00C45266"/>
    <w:rsid w:val="00C47FCB"/>
    <w:rsid w:val="00C52961"/>
    <w:rsid w:val="00C62819"/>
    <w:rsid w:val="00C6283C"/>
    <w:rsid w:val="00C62A52"/>
    <w:rsid w:val="00C64957"/>
    <w:rsid w:val="00C65016"/>
    <w:rsid w:val="00C65228"/>
    <w:rsid w:val="00C707E3"/>
    <w:rsid w:val="00C71411"/>
    <w:rsid w:val="00C73342"/>
    <w:rsid w:val="00C74904"/>
    <w:rsid w:val="00C77653"/>
    <w:rsid w:val="00C80671"/>
    <w:rsid w:val="00C81D26"/>
    <w:rsid w:val="00C83295"/>
    <w:rsid w:val="00C8429B"/>
    <w:rsid w:val="00C8485D"/>
    <w:rsid w:val="00C91464"/>
    <w:rsid w:val="00C93B65"/>
    <w:rsid w:val="00C943D3"/>
    <w:rsid w:val="00C95957"/>
    <w:rsid w:val="00C96CA9"/>
    <w:rsid w:val="00C97A89"/>
    <w:rsid w:val="00CA1610"/>
    <w:rsid w:val="00CA2816"/>
    <w:rsid w:val="00CA397B"/>
    <w:rsid w:val="00CA3AC9"/>
    <w:rsid w:val="00CA4292"/>
    <w:rsid w:val="00CA7AC4"/>
    <w:rsid w:val="00CC05CB"/>
    <w:rsid w:val="00CC238E"/>
    <w:rsid w:val="00CC4294"/>
    <w:rsid w:val="00CC5A07"/>
    <w:rsid w:val="00CC6370"/>
    <w:rsid w:val="00CC693E"/>
    <w:rsid w:val="00CC7F7F"/>
    <w:rsid w:val="00CD29DB"/>
    <w:rsid w:val="00CD55C9"/>
    <w:rsid w:val="00CD64CF"/>
    <w:rsid w:val="00CD763C"/>
    <w:rsid w:val="00CE22C5"/>
    <w:rsid w:val="00CE7A17"/>
    <w:rsid w:val="00CF0D18"/>
    <w:rsid w:val="00CF1645"/>
    <w:rsid w:val="00CF289F"/>
    <w:rsid w:val="00CF355D"/>
    <w:rsid w:val="00CF7924"/>
    <w:rsid w:val="00D02465"/>
    <w:rsid w:val="00D025AF"/>
    <w:rsid w:val="00D1178B"/>
    <w:rsid w:val="00D11CCE"/>
    <w:rsid w:val="00D11DC8"/>
    <w:rsid w:val="00D14051"/>
    <w:rsid w:val="00D1645A"/>
    <w:rsid w:val="00D200F0"/>
    <w:rsid w:val="00D20B9C"/>
    <w:rsid w:val="00D20EDB"/>
    <w:rsid w:val="00D23774"/>
    <w:rsid w:val="00D247D0"/>
    <w:rsid w:val="00D31C4D"/>
    <w:rsid w:val="00D32B7B"/>
    <w:rsid w:val="00D34C64"/>
    <w:rsid w:val="00D3516F"/>
    <w:rsid w:val="00D36420"/>
    <w:rsid w:val="00D418CD"/>
    <w:rsid w:val="00D41B3B"/>
    <w:rsid w:val="00D43927"/>
    <w:rsid w:val="00D44E47"/>
    <w:rsid w:val="00D45F88"/>
    <w:rsid w:val="00D5010A"/>
    <w:rsid w:val="00D509D1"/>
    <w:rsid w:val="00D50FDB"/>
    <w:rsid w:val="00D52FC7"/>
    <w:rsid w:val="00D552FF"/>
    <w:rsid w:val="00D62AC0"/>
    <w:rsid w:val="00D6468B"/>
    <w:rsid w:val="00D73872"/>
    <w:rsid w:val="00D74517"/>
    <w:rsid w:val="00D82ACE"/>
    <w:rsid w:val="00D8354B"/>
    <w:rsid w:val="00D904D0"/>
    <w:rsid w:val="00D9084B"/>
    <w:rsid w:val="00D91294"/>
    <w:rsid w:val="00D9172C"/>
    <w:rsid w:val="00DA2589"/>
    <w:rsid w:val="00DA3CB9"/>
    <w:rsid w:val="00DA6C64"/>
    <w:rsid w:val="00DA7D50"/>
    <w:rsid w:val="00DB0328"/>
    <w:rsid w:val="00DB1C20"/>
    <w:rsid w:val="00DB3C61"/>
    <w:rsid w:val="00DB510E"/>
    <w:rsid w:val="00DB521D"/>
    <w:rsid w:val="00DC3526"/>
    <w:rsid w:val="00DC390D"/>
    <w:rsid w:val="00DC52A2"/>
    <w:rsid w:val="00DC5FE4"/>
    <w:rsid w:val="00DD043C"/>
    <w:rsid w:val="00DD1220"/>
    <w:rsid w:val="00DD3F96"/>
    <w:rsid w:val="00DD47EE"/>
    <w:rsid w:val="00DD56C1"/>
    <w:rsid w:val="00DD7A79"/>
    <w:rsid w:val="00DE07BD"/>
    <w:rsid w:val="00DE254B"/>
    <w:rsid w:val="00DE3CD8"/>
    <w:rsid w:val="00DE3E00"/>
    <w:rsid w:val="00DE4F77"/>
    <w:rsid w:val="00DE5313"/>
    <w:rsid w:val="00DE71D8"/>
    <w:rsid w:val="00DE7B23"/>
    <w:rsid w:val="00DF1EB3"/>
    <w:rsid w:val="00DF347D"/>
    <w:rsid w:val="00DF3F50"/>
    <w:rsid w:val="00DF5477"/>
    <w:rsid w:val="00DF59A8"/>
    <w:rsid w:val="00DF6602"/>
    <w:rsid w:val="00DF724F"/>
    <w:rsid w:val="00DF741C"/>
    <w:rsid w:val="00E00FA7"/>
    <w:rsid w:val="00E04F66"/>
    <w:rsid w:val="00E07070"/>
    <w:rsid w:val="00E105EA"/>
    <w:rsid w:val="00E12566"/>
    <w:rsid w:val="00E13616"/>
    <w:rsid w:val="00E1490E"/>
    <w:rsid w:val="00E14DBB"/>
    <w:rsid w:val="00E16459"/>
    <w:rsid w:val="00E1767E"/>
    <w:rsid w:val="00E17D8E"/>
    <w:rsid w:val="00E2161D"/>
    <w:rsid w:val="00E21BD1"/>
    <w:rsid w:val="00E23234"/>
    <w:rsid w:val="00E2338B"/>
    <w:rsid w:val="00E27D10"/>
    <w:rsid w:val="00E30863"/>
    <w:rsid w:val="00E31FE6"/>
    <w:rsid w:val="00E32A0D"/>
    <w:rsid w:val="00E3367B"/>
    <w:rsid w:val="00E34EDF"/>
    <w:rsid w:val="00E3671E"/>
    <w:rsid w:val="00E36958"/>
    <w:rsid w:val="00E376AB"/>
    <w:rsid w:val="00E41AD7"/>
    <w:rsid w:val="00E4261B"/>
    <w:rsid w:val="00E45284"/>
    <w:rsid w:val="00E45D44"/>
    <w:rsid w:val="00E47D7E"/>
    <w:rsid w:val="00E50E91"/>
    <w:rsid w:val="00E51B6B"/>
    <w:rsid w:val="00E538A0"/>
    <w:rsid w:val="00E53B46"/>
    <w:rsid w:val="00E53DF7"/>
    <w:rsid w:val="00E53FBC"/>
    <w:rsid w:val="00E70FDE"/>
    <w:rsid w:val="00E7153E"/>
    <w:rsid w:val="00E74424"/>
    <w:rsid w:val="00E745B5"/>
    <w:rsid w:val="00E76B59"/>
    <w:rsid w:val="00E811C0"/>
    <w:rsid w:val="00E81E8D"/>
    <w:rsid w:val="00E86871"/>
    <w:rsid w:val="00E872A8"/>
    <w:rsid w:val="00E912EE"/>
    <w:rsid w:val="00E91C45"/>
    <w:rsid w:val="00E93798"/>
    <w:rsid w:val="00E948D6"/>
    <w:rsid w:val="00EA1859"/>
    <w:rsid w:val="00EA1C5E"/>
    <w:rsid w:val="00EA22E4"/>
    <w:rsid w:val="00EA23FE"/>
    <w:rsid w:val="00EA34EF"/>
    <w:rsid w:val="00EA3661"/>
    <w:rsid w:val="00EA3754"/>
    <w:rsid w:val="00EA3EB1"/>
    <w:rsid w:val="00EA4000"/>
    <w:rsid w:val="00EA4FCE"/>
    <w:rsid w:val="00EA5B1B"/>
    <w:rsid w:val="00EB34B1"/>
    <w:rsid w:val="00EB38D5"/>
    <w:rsid w:val="00EB4127"/>
    <w:rsid w:val="00EB5FCE"/>
    <w:rsid w:val="00EC245E"/>
    <w:rsid w:val="00EC437E"/>
    <w:rsid w:val="00ED2EB2"/>
    <w:rsid w:val="00ED54C6"/>
    <w:rsid w:val="00ED591F"/>
    <w:rsid w:val="00EE0109"/>
    <w:rsid w:val="00EE37FB"/>
    <w:rsid w:val="00EE3BD8"/>
    <w:rsid w:val="00EE462B"/>
    <w:rsid w:val="00EE6C15"/>
    <w:rsid w:val="00EF15F3"/>
    <w:rsid w:val="00EF1897"/>
    <w:rsid w:val="00EF1C71"/>
    <w:rsid w:val="00EF2133"/>
    <w:rsid w:val="00EF4248"/>
    <w:rsid w:val="00EF476F"/>
    <w:rsid w:val="00EF4A2F"/>
    <w:rsid w:val="00EF6A24"/>
    <w:rsid w:val="00EF71E5"/>
    <w:rsid w:val="00EF77CB"/>
    <w:rsid w:val="00EF7FD0"/>
    <w:rsid w:val="00F0036C"/>
    <w:rsid w:val="00F02EA6"/>
    <w:rsid w:val="00F07A2A"/>
    <w:rsid w:val="00F1457F"/>
    <w:rsid w:val="00F2122D"/>
    <w:rsid w:val="00F24C94"/>
    <w:rsid w:val="00F27FCA"/>
    <w:rsid w:val="00F31961"/>
    <w:rsid w:val="00F331D1"/>
    <w:rsid w:val="00F33328"/>
    <w:rsid w:val="00F33976"/>
    <w:rsid w:val="00F35280"/>
    <w:rsid w:val="00F355D0"/>
    <w:rsid w:val="00F40409"/>
    <w:rsid w:val="00F41A43"/>
    <w:rsid w:val="00F42D92"/>
    <w:rsid w:val="00F43046"/>
    <w:rsid w:val="00F43486"/>
    <w:rsid w:val="00F437D1"/>
    <w:rsid w:val="00F438A5"/>
    <w:rsid w:val="00F43EC9"/>
    <w:rsid w:val="00F44DF3"/>
    <w:rsid w:val="00F45779"/>
    <w:rsid w:val="00F50244"/>
    <w:rsid w:val="00F517BF"/>
    <w:rsid w:val="00F52239"/>
    <w:rsid w:val="00F52A24"/>
    <w:rsid w:val="00F56587"/>
    <w:rsid w:val="00F56B25"/>
    <w:rsid w:val="00F5719C"/>
    <w:rsid w:val="00F628E1"/>
    <w:rsid w:val="00F63B40"/>
    <w:rsid w:val="00F64CF8"/>
    <w:rsid w:val="00F66C04"/>
    <w:rsid w:val="00F71539"/>
    <w:rsid w:val="00F717E2"/>
    <w:rsid w:val="00F73303"/>
    <w:rsid w:val="00F7378A"/>
    <w:rsid w:val="00F763B2"/>
    <w:rsid w:val="00F765E7"/>
    <w:rsid w:val="00F80896"/>
    <w:rsid w:val="00F82005"/>
    <w:rsid w:val="00F84AD5"/>
    <w:rsid w:val="00F85377"/>
    <w:rsid w:val="00F860F5"/>
    <w:rsid w:val="00F867AF"/>
    <w:rsid w:val="00F86CAC"/>
    <w:rsid w:val="00F87A77"/>
    <w:rsid w:val="00F9572A"/>
    <w:rsid w:val="00FA3DA4"/>
    <w:rsid w:val="00FA690D"/>
    <w:rsid w:val="00FA6A13"/>
    <w:rsid w:val="00FB0C4C"/>
    <w:rsid w:val="00FB1818"/>
    <w:rsid w:val="00FB4F4C"/>
    <w:rsid w:val="00FB6710"/>
    <w:rsid w:val="00FB6AD8"/>
    <w:rsid w:val="00FC109F"/>
    <w:rsid w:val="00FC2921"/>
    <w:rsid w:val="00FC2DEF"/>
    <w:rsid w:val="00FC30DB"/>
    <w:rsid w:val="00FC5475"/>
    <w:rsid w:val="00FC7974"/>
    <w:rsid w:val="00FD3562"/>
    <w:rsid w:val="00FD4F44"/>
    <w:rsid w:val="00FD6EA0"/>
    <w:rsid w:val="00FD7B58"/>
    <w:rsid w:val="00FE358D"/>
    <w:rsid w:val="00FE3E16"/>
    <w:rsid w:val="00FE4905"/>
    <w:rsid w:val="00FE4B54"/>
    <w:rsid w:val="00FE4F23"/>
    <w:rsid w:val="00FE5CBA"/>
    <w:rsid w:val="00FF260C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057DA-F667-465D-9AE9-C9F46AFE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9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3E6"/>
  </w:style>
  <w:style w:type="paragraph" w:styleId="Footer">
    <w:name w:val="footer"/>
    <w:basedOn w:val="Normal"/>
    <w:link w:val="FooterChar"/>
    <w:rsid w:val="00694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3E6"/>
  </w:style>
  <w:style w:type="paragraph" w:styleId="ListParagraph">
    <w:name w:val="List Paragraph"/>
    <w:basedOn w:val="Normal"/>
    <w:uiPriority w:val="34"/>
    <w:qFormat/>
    <w:rsid w:val="008D6BF2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paragraph" w:styleId="BalloonText">
    <w:name w:val="Balloon Text"/>
    <w:basedOn w:val="Normal"/>
    <w:link w:val="BalloonTextChar"/>
    <w:rsid w:val="00F86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0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646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68B"/>
  </w:style>
  <w:style w:type="character" w:customStyle="1" w:styleId="CommentTextChar">
    <w:name w:val="Comment Text Char"/>
    <w:basedOn w:val="DefaultParagraphFont"/>
    <w:link w:val="CommentText"/>
    <w:semiHidden/>
    <w:rsid w:val="00D646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4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9F8B-06E9-49A5-B1C9-C5B765E8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642788D7</Template>
  <TotalTime>1</TotalTime>
  <Pages>1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Crecy</dc:creator>
  <cp:lastModifiedBy>LaMorte, John P LT</cp:lastModifiedBy>
  <cp:revision>2</cp:revision>
  <dcterms:created xsi:type="dcterms:W3CDTF">2019-02-26T14:39:00Z</dcterms:created>
  <dcterms:modified xsi:type="dcterms:W3CDTF">2019-02-26T14:39:00Z</dcterms:modified>
</cp:coreProperties>
</file>