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146106" w14:textId="4A64965F" w:rsidR="00DA7A0D" w:rsidRDefault="00DA7A0D" w:rsidP="00DA7A0D">
      <w:pPr>
        <w:pStyle w:val="Heading3"/>
      </w:pPr>
      <w:r>
        <w:t>Spill Containment and Cleanup</w:t>
      </w:r>
      <w:r w:rsidR="00AB6B03">
        <w:t xml:space="preserve"> Checklist</w:t>
      </w:r>
    </w:p>
    <w:p w14:paraId="0CAE2C3C" w14:textId="77777777" w:rsidR="00AB6B03" w:rsidRPr="00AB6B03" w:rsidRDefault="00AB6B03" w:rsidP="00AB6B03"/>
    <w:p w14:paraId="00DAFE99" w14:textId="77777777" w:rsidR="00DA7A0D" w:rsidRDefault="00DA7A0D" w:rsidP="00DA7A0D">
      <w:pPr>
        <w:suppressAutoHyphens/>
      </w:pPr>
      <w:r>
        <w:t>The following is a checklist intended to be used as a guideline of considerations to be referred to when developing tactical response options/strategies. This list is NOT in order of importance and may not apply to every situation. The checklist does not limit the Operations Section from choosing response options/strategies that are not listed.</w:t>
      </w:r>
    </w:p>
    <w:p w14:paraId="6C65D7C5" w14:textId="77777777" w:rsidR="00DA7A0D" w:rsidRDefault="00DA7A0D" w:rsidP="00DA7A0D">
      <w:pPr>
        <w:suppressAutoHyphens/>
      </w:pPr>
    </w:p>
    <w:p w14:paraId="1A139682" w14:textId="77777777" w:rsidR="00DA7A0D" w:rsidRDefault="00DA7A0D" w:rsidP="00DA7A0D">
      <w:pPr>
        <w:suppressAutoHyphens/>
      </w:pPr>
      <w:r>
        <w:t xml:space="preserve">Refer to “Characteristic Coastal Habitats: Choosing Spill Response Alternatives” Job Aid at </w:t>
      </w:r>
      <w:hyperlink r:id="rId7" w:history="1">
        <w:r w:rsidRPr="004C47B4">
          <w:rPr>
            <w:rStyle w:val="Hyperlink"/>
          </w:rPr>
          <w:t>http://response.restoration.noaa.gov/oil-and-chemical-spills/oil-spills/resources/characteristic-coastal-habitats.html</w:t>
        </w:r>
      </w:hyperlink>
      <w:r>
        <w:t xml:space="preserve">, </w:t>
      </w:r>
      <w:r w:rsidRPr="003226CE">
        <w:rPr>
          <w:color w:val="0000FF"/>
          <w:u w:val="single"/>
        </w:rPr>
        <w:t>Chapter 4000 Section 4600</w:t>
      </w:r>
      <w:r>
        <w:t xml:space="preserve">, and </w:t>
      </w:r>
      <w:r w:rsidRPr="003226CE">
        <w:rPr>
          <w:color w:val="0000FF"/>
          <w:u w:val="single"/>
        </w:rPr>
        <w:t>Chapter 9000 Section 9420</w:t>
      </w:r>
      <w:r>
        <w:t xml:space="preserve"> “Northwest Area Shoreline Countermeasures Assessment Manual” for detailed information on the listed options/strategies </w:t>
      </w:r>
    </w:p>
    <w:p w14:paraId="7C81B47E" w14:textId="77777777" w:rsidR="00DA7A0D" w:rsidRDefault="00DA7A0D" w:rsidP="00DA7A0D">
      <w:pPr>
        <w:pStyle w:val="Bullet"/>
        <w:numPr>
          <w:ilvl w:val="0"/>
          <w:numId w:val="2"/>
        </w:numPr>
        <w:suppressAutoHyphens/>
      </w:pPr>
      <w:r>
        <w:t>Natural Recovery (Which may include setting aside areas for research purposes and countermeasures effectiveness determination.  Recognize that identifying set-aside sites involves a complex matrix of scientific, logistical, legal, and public relations issues.)</w:t>
      </w:r>
    </w:p>
    <w:p w14:paraId="16F6399E" w14:textId="77777777" w:rsidR="00DA7A0D" w:rsidRDefault="00DA7A0D" w:rsidP="00DA7A0D">
      <w:pPr>
        <w:pStyle w:val="Bullet"/>
        <w:numPr>
          <w:ilvl w:val="0"/>
          <w:numId w:val="2"/>
        </w:numPr>
        <w:suppressAutoHyphens/>
      </w:pPr>
      <w:r>
        <w:t>Booming and containment (See Gasoline Policy Section 4660)</w:t>
      </w:r>
    </w:p>
    <w:p w14:paraId="7F0D0EFA" w14:textId="77777777" w:rsidR="00DA7A0D" w:rsidRDefault="00DA7A0D" w:rsidP="00DA7A0D">
      <w:pPr>
        <w:pStyle w:val="Bullet"/>
        <w:numPr>
          <w:ilvl w:val="0"/>
          <w:numId w:val="2"/>
        </w:numPr>
        <w:suppressAutoHyphens/>
      </w:pPr>
      <w:r>
        <w:t>Skimming (See Gasoline Policy Section 4660)</w:t>
      </w:r>
    </w:p>
    <w:p w14:paraId="33048FF2" w14:textId="77777777" w:rsidR="00DA7A0D" w:rsidRDefault="00DA7A0D" w:rsidP="00DA7A0D">
      <w:pPr>
        <w:pStyle w:val="Bullet"/>
        <w:numPr>
          <w:ilvl w:val="0"/>
          <w:numId w:val="2"/>
        </w:numPr>
        <w:suppressAutoHyphens/>
      </w:pPr>
      <w:r>
        <w:t>Barriers and Berms</w:t>
      </w:r>
    </w:p>
    <w:p w14:paraId="51130BF5" w14:textId="77777777" w:rsidR="00DA7A0D" w:rsidRDefault="00DA7A0D" w:rsidP="00DA7A0D">
      <w:pPr>
        <w:pStyle w:val="Bullet"/>
        <w:numPr>
          <w:ilvl w:val="0"/>
          <w:numId w:val="2"/>
        </w:numPr>
        <w:suppressAutoHyphens/>
      </w:pPr>
      <w:r>
        <w:t>Physical herding</w:t>
      </w:r>
    </w:p>
    <w:p w14:paraId="62BE960F" w14:textId="77777777" w:rsidR="00DA7A0D" w:rsidRDefault="00DA7A0D" w:rsidP="00DA7A0D">
      <w:pPr>
        <w:pStyle w:val="Bullet"/>
        <w:numPr>
          <w:ilvl w:val="0"/>
          <w:numId w:val="2"/>
        </w:numPr>
        <w:suppressAutoHyphens/>
      </w:pPr>
      <w:r>
        <w:t>Manual Oil Removal/Cleaning</w:t>
      </w:r>
    </w:p>
    <w:p w14:paraId="448FB868" w14:textId="77777777" w:rsidR="00DA7A0D" w:rsidRDefault="00DA7A0D" w:rsidP="00DA7A0D">
      <w:pPr>
        <w:pStyle w:val="Bullet"/>
        <w:numPr>
          <w:ilvl w:val="0"/>
          <w:numId w:val="2"/>
        </w:numPr>
        <w:suppressAutoHyphens/>
      </w:pPr>
      <w:r>
        <w:t>Mechanical Oil Removal</w:t>
      </w:r>
    </w:p>
    <w:p w14:paraId="58A24A64" w14:textId="77777777" w:rsidR="00DA7A0D" w:rsidRDefault="00DA7A0D" w:rsidP="00DA7A0D">
      <w:pPr>
        <w:pStyle w:val="Bullet"/>
        <w:numPr>
          <w:ilvl w:val="0"/>
          <w:numId w:val="2"/>
        </w:numPr>
        <w:suppressAutoHyphens/>
      </w:pPr>
      <w:r>
        <w:t>Sorbents</w:t>
      </w:r>
    </w:p>
    <w:p w14:paraId="650CCBA6" w14:textId="77777777" w:rsidR="00DA7A0D" w:rsidRDefault="00DA7A0D" w:rsidP="00DA7A0D">
      <w:pPr>
        <w:pStyle w:val="Bullet"/>
        <w:numPr>
          <w:ilvl w:val="0"/>
          <w:numId w:val="2"/>
        </w:numPr>
        <w:suppressAutoHyphens/>
      </w:pPr>
      <w:r>
        <w:t>Vacuuming</w:t>
      </w:r>
    </w:p>
    <w:p w14:paraId="36ED79AB" w14:textId="77777777" w:rsidR="00DA7A0D" w:rsidRDefault="00DA7A0D" w:rsidP="00DA7A0D">
      <w:pPr>
        <w:pStyle w:val="Bullet"/>
        <w:numPr>
          <w:ilvl w:val="0"/>
          <w:numId w:val="2"/>
        </w:numPr>
        <w:suppressAutoHyphens/>
      </w:pPr>
      <w:r>
        <w:t>Debris Removal</w:t>
      </w:r>
    </w:p>
    <w:p w14:paraId="4F617135" w14:textId="77777777" w:rsidR="00DA7A0D" w:rsidRDefault="00DA7A0D" w:rsidP="00DA7A0D">
      <w:pPr>
        <w:pStyle w:val="Bullet"/>
        <w:numPr>
          <w:ilvl w:val="0"/>
          <w:numId w:val="2"/>
        </w:numPr>
        <w:suppressAutoHyphens/>
      </w:pPr>
      <w:r>
        <w:t>Sediment Reworking/Tilling</w:t>
      </w:r>
    </w:p>
    <w:p w14:paraId="6840E128" w14:textId="77777777" w:rsidR="00DA7A0D" w:rsidRDefault="00DA7A0D" w:rsidP="00DA7A0D">
      <w:pPr>
        <w:pStyle w:val="Bullet"/>
        <w:numPr>
          <w:ilvl w:val="0"/>
          <w:numId w:val="2"/>
        </w:numPr>
        <w:suppressAutoHyphens/>
      </w:pPr>
      <w:r>
        <w:t>Vegetation Cutting/Removal</w:t>
      </w:r>
    </w:p>
    <w:p w14:paraId="1C0AB2BF" w14:textId="77777777" w:rsidR="00DA7A0D" w:rsidRDefault="00DA7A0D" w:rsidP="00DA7A0D">
      <w:pPr>
        <w:pStyle w:val="Bullet"/>
        <w:numPr>
          <w:ilvl w:val="0"/>
          <w:numId w:val="2"/>
        </w:numPr>
        <w:suppressAutoHyphens/>
      </w:pPr>
      <w:r>
        <w:t>Flooding/Deluge</w:t>
      </w:r>
    </w:p>
    <w:p w14:paraId="6177FC7C" w14:textId="77777777" w:rsidR="00DA7A0D" w:rsidRDefault="00DA7A0D" w:rsidP="00DA7A0D">
      <w:pPr>
        <w:pStyle w:val="ListParagraph"/>
        <w:numPr>
          <w:ilvl w:val="0"/>
          <w:numId w:val="2"/>
        </w:numPr>
      </w:pPr>
      <w:r>
        <w:t xml:space="preserve">Dispersants </w:t>
      </w:r>
      <w:r w:rsidRPr="00713EB0">
        <w:rPr>
          <w:caps/>
        </w:rPr>
        <w:t>(</w:t>
      </w:r>
      <w:r>
        <w:t xml:space="preserve">Chapter 4000 Section 4620 and </w:t>
      </w:r>
      <w:hyperlink r:id="rId8" w:history="1">
        <w:r>
          <w:rPr>
            <w:rStyle w:val="Hyperlink"/>
          </w:rPr>
          <w:t>http://response.restoration.noaa.gov/oil-and-chemical-spills/oil-spills/resources/smart.html</w:t>
        </w:r>
      </w:hyperlink>
      <w:r>
        <w:t>)</w:t>
      </w:r>
    </w:p>
    <w:p w14:paraId="531E1C9A" w14:textId="77777777" w:rsidR="00DA7A0D" w:rsidRDefault="00DA7A0D" w:rsidP="00DA7A0D">
      <w:pPr>
        <w:pStyle w:val="Bullet"/>
        <w:numPr>
          <w:ilvl w:val="0"/>
          <w:numId w:val="2"/>
        </w:numPr>
        <w:suppressAutoHyphens/>
        <w:rPr>
          <w:caps/>
        </w:rPr>
      </w:pPr>
      <w:r>
        <w:t xml:space="preserve">In-Situ Burning </w:t>
      </w:r>
      <w:r>
        <w:rPr>
          <w:caps/>
        </w:rPr>
        <w:t>(</w:t>
      </w:r>
      <w:r>
        <w:t>Chapter 4000 Section 4610 through 4630 &amp; Chapter 9000 Section 9630 In-Situ Burn Policy Manual</w:t>
      </w:r>
      <w:r>
        <w:rPr>
          <w:caps/>
        </w:rPr>
        <w:t>)</w:t>
      </w:r>
    </w:p>
    <w:p w14:paraId="453C2DF1" w14:textId="77777777" w:rsidR="00DA7A0D" w:rsidRDefault="00DA7A0D" w:rsidP="00DA7A0D">
      <w:pPr>
        <w:pStyle w:val="Bullet"/>
        <w:numPr>
          <w:ilvl w:val="0"/>
          <w:numId w:val="2"/>
        </w:numPr>
        <w:suppressAutoHyphens/>
      </w:pPr>
      <w:r>
        <w:t xml:space="preserve">Decanting </w:t>
      </w:r>
      <w:r>
        <w:rPr>
          <w:caps/>
        </w:rPr>
        <w:t>(</w:t>
      </w:r>
      <w:r>
        <w:t>Chapter 4000 Section 4650)</w:t>
      </w:r>
    </w:p>
    <w:p w14:paraId="30BB42E7" w14:textId="77777777" w:rsidR="00DA7A0D" w:rsidRDefault="00DA7A0D" w:rsidP="00DA7A0D">
      <w:pPr>
        <w:pStyle w:val="Bullet"/>
        <w:numPr>
          <w:ilvl w:val="0"/>
          <w:numId w:val="2"/>
        </w:numPr>
        <w:suppressAutoHyphens/>
      </w:pPr>
      <w:r>
        <w:t xml:space="preserve">NMFS Biological Opinion for oil response </w:t>
      </w:r>
    </w:p>
    <w:p w14:paraId="1B027548" w14:textId="77777777" w:rsidR="00DA7A0D" w:rsidRDefault="00DA7A0D" w:rsidP="00DA7A0D">
      <w:pPr>
        <w:suppressAutoHyphens/>
      </w:pPr>
    </w:p>
    <w:p w14:paraId="485A0B12" w14:textId="77777777" w:rsidR="00DA7A0D" w:rsidRDefault="00DA7A0D" w:rsidP="00DA7A0D">
      <w:pPr>
        <w:suppressAutoHyphens/>
      </w:pPr>
      <w:r>
        <w:t>A critical element to containment and cleanup is to monitor the strategies/tactics that have been implemented for effectiveness and efficiency. It is also important to discuss and develop criteria/guidance for terminating the cleanup (e.g., How clean is clean?).</w:t>
      </w:r>
    </w:p>
    <w:p w14:paraId="4167890E" w14:textId="77777777" w:rsidR="0035746A" w:rsidRDefault="0035746A"/>
    <w:sectPr w:rsidR="0035746A" w:rsidSect="0035746A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DB2CCF" w14:textId="77777777" w:rsidR="00254A22" w:rsidRDefault="00254A22" w:rsidP="00962888">
      <w:r>
        <w:separator/>
      </w:r>
    </w:p>
  </w:endnote>
  <w:endnote w:type="continuationSeparator" w:id="0">
    <w:p w14:paraId="56ABE6A0" w14:textId="77777777" w:rsidR="00254A22" w:rsidRDefault="00254A22" w:rsidP="009628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BC5361" w14:textId="77777777" w:rsidR="00254A22" w:rsidRDefault="00254A22" w:rsidP="00962888">
      <w:r>
        <w:separator/>
      </w:r>
    </w:p>
  </w:footnote>
  <w:footnote w:type="continuationSeparator" w:id="0">
    <w:p w14:paraId="74018825" w14:textId="77777777" w:rsidR="00254A22" w:rsidRDefault="00254A22" w:rsidP="009628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0F2B52" w14:textId="77777777" w:rsidR="00962888" w:rsidRDefault="00962888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30528DB" wp14:editId="47FD0C36">
          <wp:simplePos x="0" y="0"/>
          <wp:positionH relativeFrom="column">
            <wp:posOffset>5067300</wp:posOffset>
          </wp:positionH>
          <wp:positionV relativeFrom="paragraph">
            <wp:posOffset>-76200</wp:posOffset>
          </wp:positionV>
          <wp:extent cx="1568450" cy="406400"/>
          <wp:effectExtent l="19050" t="0" r="0" b="0"/>
          <wp:wrapTight wrapText="bothSides">
            <wp:wrapPolygon edited="0">
              <wp:start x="-262" y="0"/>
              <wp:lineTo x="-262" y="20250"/>
              <wp:lineTo x="21513" y="20250"/>
              <wp:lineTo x="21513" y="0"/>
              <wp:lineTo x="-262" y="0"/>
            </wp:wrapPolygon>
          </wp:wrapTight>
          <wp:docPr id="1" name="Picture 0" descr="ECOLOGO_W-CYM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COLOGO_W-CYMK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68450" cy="406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7824F6"/>
    <w:multiLevelType w:val="hybridMultilevel"/>
    <w:tmpl w:val="DF1019F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79BEFC24">
      <w:start w:val="1"/>
      <w:numFmt w:val="bullet"/>
      <w:pStyle w:val="Bullet"/>
      <w:lvlText w:val="■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3DEC4D2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color w:val="auto"/>
      </w:rPr>
    </w:lvl>
    <w:lvl w:ilvl="3" w:tplc="DBE0D708">
      <w:start w:val="2"/>
      <w:numFmt w:val="upp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3D040440"/>
    <w:multiLevelType w:val="hybridMultilevel"/>
    <w:tmpl w:val="AD4015E4"/>
    <w:lvl w:ilvl="0" w:tplc="F7588FD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4305751">
    <w:abstractNumId w:val="0"/>
  </w:num>
  <w:num w:numId="2" w16cid:durableId="9921013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A7A0D"/>
    <w:rsid w:val="0000721A"/>
    <w:rsid w:val="00013E31"/>
    <w:rsid w:val="00031652"/>
    <w:rsid w:val="00040562"/>
    <w:rsid w:val="000B5D79"/>
    <w:rsid w:val="000C74A6"/>
    <w:rsid w:val="000D377A"/>
    <w:rsid w:val="000F2AD7"/>
    <w:rsid w:val="0014627F"/>
    <w:rsid w:val="001722E3"/>
    <w:rsid w:val="0017343A"/>
    <w:rsid w:val="00175710"/>
    <w:rsid w:val="00191C9A"/>
    <w:rsid w:val="001A2798"/>
    <w:rsid w:val="001A790E"/>
    <w:rsid w:val="001E5435"/>
    <w:rsid w:val="00202FED"/>
    <w:rsid w:val="0021175B"/>
    <w:rsid w:val="002253B4"/>
    <w:rsid w:val="002421E7"/>
    <w:rsid w:val="00254A22"/>
    <w:rsid w:val="002629B0"/>
    <w:rsid w:val="002736DB"/>
    <w:rsid w:val="00274F5D"/>
    <w:rsid w:val="002D0260"/>
    <w:rsid w:val="002D4FFB"/>
    <w:rsid w:val="00337A42"/>
    <w:rsid w:val="0035746A"/>
    <w:rsid w:val="003667E6"/>
    <w:rsid w:val="003A744B"/>
    <w:rsid w:val="003D5F84"/>
    <w:rsid w:val="003E6DB2"/>
    <w:rsid w:val="003F3387"/>
    <w:rsid w:val="00424054"/>
    <w:rsid w:val="00433C13"/>
    <w:rsid w:val="00442F05"/>
    <w:rsid w:val="00450CCE"/>
    <w:rsid w:val="00460BB1"/>
    <w:rsid w:val="00470D34"/>
    <w:rsid w:val="004A2D7C"/>
    <w:rsid w:val="004D5967"/>
    <w:rsid w:val="004F1A60"/>
    <w:rsid w:val="004F4150"/>
    <w:rsid w:val="005362DB"/>
    <w:rsid w:val="00566F8E"/>
    <w:rsid w:val="005A59CD"/>
    <w:rsid w:val="005A7A35"/>
    <w:rsid w:val="005B6E17"/>
    <w:rsid w:val="005F022B"/>
    <w:rsid w:val="005F0C42"/>
    <w:rsid w:val="00614FFB"/>
    <w:rsid w:val="006234D1"/>
    <w:rsid w:val="00650739"/>
    <w:rsid w:val="0065467F"/>
    <w:rsid w:val="006901BE"/>
    <w:rsid w:val="006A3C55"/>
    <w:rsid w:val="006C144A"/>
    <w:rsid w:val="006C3F45"/>
    <w:rsid w:val="006E1ECB"/>
    <w:rsid w:val="007264C7"/>
    <w:rsid w:val="00755E54"/>
    <w:rsid w:val="0076171F"/>
    <w:rsid w:val="00782EB2"/>
    <w:rsid w:val="007B3013"/>
    <w:rsid w:val="007D2846"/>
    <w:rsid w:val="007D39BA"/>
    <w:rsid w:val="007D6CD2"/>
    <w:rsid w:val="00807FAE"/>
    <w:rsid w:val="008116B2"/>
    <w:rsid w:val="008128F2"/>
    <w:rsid w:val="00861498"/>
    <w:rsid w:val="0088069E"/>
    <w:rsid w:val="008D0DB6"/>
    <w:rsid w:val="00925225"/>
    <w:rsid w:val="00962888"/>
    <w:rsid w:val="009646EC"/>
    <w:rsid w:val="009B02C6"/>
    <w:rsid w:val="009F2B89"/>
    <w:rsid w:val="00A1025F"/>
    <w:rsid w:val="00A2407B"/>
    <w:rsid w:val="00A32510"/>
    <w:rsid w:val="00A9036F"/>
    <w:rsid w:val="00AB6B03"/>
    <w:rsid w:val="00AC7676"/>
    <w:rsid w:val="00AF3C83"/>
    <w:rsid w:val="00B20046"/>
    <w:rsid w:val="00B26900"/>
    <w:rsid w:val="00B70045"/>
    <w:rsid w:val="00BB633B"/>
    <w:rsid w:val="00BD12DD"/>
    <w:rsid w:val="00BE54BC"/>
    <w:rsid w:val="00C0735B"/>
    <w:rsid w:val="00C10BDD"/>
    <w:rsid w:val="00C22266"/>
    <w:rsid w:val="00C260FD"/>
    <w:rsid w:val="00C558BF"/>
    <w:rsid w:val="00CA3598"/>
    <w:rsid w:val="00D07EF3"/>
    <w:rsid w:val="00D65334"/>
    <w:rsid w:val="00DA0D09"/>
    <w:rsid w:val="00DA7A0D"/>
    <w:rsid w:val="00DF6D4B"/>
    <w:rsid w:val="00E719F0"/>
    <w:rsid w:val="00EE00B2"/>
    <w:rsid w:val="00F20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D3E124"/>
  <w15:docId w15:val="{A3D458D5-7D42-435C-A872-071A0F2F7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7A0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DA7A0D"/>
    <w:pPr>
      <w:keepNext/>
      <w:keepLines/>
      <w:tabs>
        <w:tab w:val="left" w:pos="810"/>
      </w:tabs>
      <w:suppressAutoHyphens/>
      <w:ind w:left="810" w:hanging="810"/>
      <w:outlineLvl w:val="2"/>
    </w:pPr>
    <w:rPr>
      <w:rFonts w:ascii="Arial" w:hAnsi="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rsid w:val="00DA7A0D"/>
    <w:rPr>
      <w:rFonts w:ascii="Arial" w:eastAsia="Times New Roman" w:hAnsi="Arial" w:cs="Times New Roman"/>
      <w:b/>
      <w:sz w:val="24"/>
      <w:szCs w:val="20"/>
    </w:rPr>
  </w:style>
  <w:style w:type="character" w:styleId="Hyperlink">
    <w:name w:val="Hyperlink"/>
    <w:basedOn w:val="DefaultParagraphFont"/>
    <w:uiPriority w:val="99"/>
    <w:rsid w:val="00DA7A0D"/>
    <w:rPr>
      <w:rFonts w:cs="Times New Roman"/>
      <w:color w:val="0000FF"/>
      <w:u w:val="single"/>
    </w:rPr>
  </w:style>
  <w:style w:type="paragraph" w:customStyle="1" w:styleId="Bullet">
    <w:name w:val="Bullet"/>
    <w:basedOn w:val="Normal"/>
    <w:next w:val="Normal"/>
    <w:uiPriority w:val="99"/>
    <w:rsid w:val="00DA7A0D"/>
    <w:pPr>
      <w:numPr>
        <w:ilvl w:val="1"/>
        <w:numId w:val="1"/>
      </w:numPr>
      <w:tabs>
        <w:tab w:val="left" w:pos="360"/>
      </w:tabs>
    </w:pPr>
  </w:style>
  <w:style w:type="paragraph" w:styleId="ListParagraph">
    <w:name w:val="List Paragraph"/>
    <w:basedOn w:val="Normal"/>
    <w:uiPriority w:val="34"/>
    <w:qFormat/>
    <w:rsid w:val="00DA7A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6288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62888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96288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62888"/>
    <w:rPr>
      <w:rFonts w:ascii="Times New Roman" w:eastAsia="Times New Roman" w:hAnsi="Times New Roman" w:cs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28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88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sponse.restoration.noaa.gov/oil-and-chemical-spills/oil-spills/resources/smart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esponse.restoration.noaa.gov/oil-and-chemical-spills/oil-spills/resources/characteristic-coastal-habitats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333</Words>
  <Characters>1836</Characters>
  <Application>Microsoft Office Word</Application>
  <DocSecurity>0</DocSecurity>
  <Lines>63</Lines>
  <Paragraphs>43</Paragraphs>
  <ScaleCrop>false</ScaleCrop>
  <Company>WA Department of Ecology</Company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Spill containment and cleanup</dc:title>
  <dc:creator>Washington Department of Ecology</dc:creator>
  <cp:keywords>oil spill response, oil spill drills, oil spill preparedness</cp:keywords>
  <cp:lastModifiedBy>Bates, Erica (ECY)</cp:lastModifiedBy>
  <cp:revision>3</cp:revision>
  <dcterms:created xsi:type="dcterms:W3CDTF">2015-02-09T21:51:00Z</dcterms:created>
  <dcterms:modified xsi:type="dcterms:W3CDTF">2026-03-16T23:47:00Z</dcterms:modified>
</cp:coreProperties>
</file>