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33483" w:rsidRDefault="00E33483" w:rsidP="00E33483">
      <w:pPr>
        <w:pStyle w:val="Heading3"/>
        <w:rPr>
          <w:rFonts w:eastAsia="Times New Roman"/>
        </w:rPr>
      </w:pPr>
      <w:bookmarkStart w:id="0" w:name="_Toc462120057"/>
      <w:r>
        <w:rPr>
          <w:rFonts w:eastAsia="Times New Roman"/>
        </w:rPr>
        <w:t>Major Incident Response Milestone Checklist</w:t>
      </w:r>
      <w:bookmarkEnd w:id="0"/>
    </w:p>
    <w:p w:rsidR="00E33483" w:rsidRDefault="00E33483" w:rsidP="00E33483">
      <w:pPr>
        <w:rPr>
          <w:i/>
          <w:iCs/>
        </w:rPr>
      </w:pPr>
      <w:r>
        <w:rPr>
          <w:i/>
          <w:iCs/>
        </w:rPr>
        <w:t>Use this form to record the time a task has been completed. Assume that proper notifications have initiated the response. The milestones/tasks mark the hours that certain activities should begin, though they may take several more hours or days to complete.  Every response is different and therefore these milestones are aspirational, intended to guide responders towards success. Not all milestones are appropriate for every response.</w:t>
      </w:r>
    </w:p>
    <w:p w:rsidR="00E33483" w:rsidRDefault="00E33483" w:rsidP="00E33483"/>
    <w:p w:rsidR="00E33483" w:rsidRDefault="00E33483" w:rsidP="00E33483"/>
    <w:p w:rsidR="00E33483" w:rsidRDefault="00E33483" w:rsidP="00E33483">
      <w:pPr>
        <w:pStyle w:val="Heading4"/>
        <w:ind w:right="0"/>
        <w:rPr>
          <w:rFonts w:eastAsia="Times New Roman"/>
        </w:rPr>
      </w:pPr>
      <w:bookmarkStart w:id="1" w:name="_Toc462120058"/>
      <w:r>
        <w:rPr>
          <w:rFonts w:eastAsia="Times New Roman"/>
        </w:rPr>
        <w:t>Prior to Officially Forming a Unified Command</w:t>
      </w:r>
      <w:bookmarkEnd w:id="1"/>
    </w:p>
    <w:p w:rsidR="00E33483" w:rsidRDefault="00E33483" w:rsidP="00A65FD1">
      <w:pPr>
        <w:pStyle w:val="Heading5"/>
        <w:spacing w:before="120"/>
        <w:ind w:left="1166" w:hanging="1166"/>
        <w:rPr>
          <w:rFonts w:eastAsia="Times New Roman"/>
        </w:rPr>
      </w:pPr>
      <w:bookmarkStart w:id="2" w:name="_Toc462120059"/>
      <w:r>
        <w:rPr>
          <w:rFonts w:eastAsia="Times New Roman"/>
        </w:rPr>
        <w:t>Day 1 Hour +2</w:t>
      </w:r>
      <w:bookmarkEnd w:id="2"/>
    </w:p>
    <w:p w:rsidR="00E33483" w:rsidRDefault="00E33483" w:rsidP="00E33483">
      <w:pPr>
        <w:spacing w:after="120"/>
        <w:rPr>
          <w:i/>
          <w:iCs/>
        </w:rPr>
      </w:pPr>
      <w:r>
        <w:rPr>
          <w:i/>
          <w:iCs/>
        </w:rPr>
        <w:t>Please note: although these tasks are assigned according to ICS position, they should not wait until an incident specific IMT is established.  The tasks can be accomplished by any individual supporting the response.</w:t>
      </w: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
        <w:gridCol w:w="2880"/>
        <w:gridCol w:w="7344"/>
      </w:tblGrid>
      <w:tr w:rsidR="00E33483" w:rsidTr="00E33483">
        <w:tc>
          <w:tcPr>
            <w:tcW w:w="576" w:type="dxa"/>
            <w:tcMar>
              <w:top w:w="0" w:type="dxa"/>
              <w:left w:w="108" w:type="dxa"/>
              <w:bottom w:w="0" w:type="dxa"/>
              <w:right w:w="108" w:type="dxa"/>
            </w:tcMar>
            <w:hideMark/>
          </w:tcPr>
          <w:p w:rsidR="00E33483" w:rsidRDefault="00E33483">
            <w:pPr>
              <w:jc w:val="center"/>
              <w:rPr>
                <w:rFonts w:ascii="Arial Bold" w:hAnsi="Arial Bold"/>
                <w:b/>
                <w:bCs/>
                <w:sz w:val="22"/>
                <w:szCs w:val="22"/>
              </w:rPr>
            </w:pPr>
            <w:r>
              <w:rPr>
                <w:rFonts w:ascii="Arial Bold" w:hAnsi="Arial Bold"/>
                <w:b/>
                <w:bCs/>
                <w:sz w:val="22"/>
                <w:szCs w:val="22"/>
              </w:rPr>
              <w:t>√</w:t>
            </w:r>
          </w:p>
        </w:tc>
        <w:tc>
          <w:tcPr>
            <w:tcW w:w="2880" w:type="dxa"/>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Assigned To</w:t>
            </w:r>
          </w:p>
        </w:tc>
        <w:tc>
          <w:tcPr>
            <w:tcW w:w="7344" w:type="dxa"/>
            <w:tcMar>
              <w:top w:w="0" w:type="dxa"/>
              <w:left w:w="108" w:type="dxa"/>
              <w:bottom w:w="0" w:type="dxa"/>
              <w:right w:w="108" w:type="dxa"/>
            </w:tcMar>
            <w:vAlign w:val="bottom"/>
            <w:hideMark/>
          </w:tcPr>
          <w:p w:rsidR="00E33483" w:rsidRDefault="00E33483">
            <w:pPr>
              <w:jc w:val="center"/>
              <w:rPr>
                <w:rFonts w:ascii="Arial Bold" w:hAnsi="Arial Bold"/>
                <w:b/>
                <w:bCs/>
                <w:sz w:val="22"/>
                <w:szCs w:val="22"/>
              </w:rPr>
            </w:pPr>
            <w:r>
              <w:rPr>
                <w:rFonts w:ascii="Arial Bold" w:hAnsi="Arial Bold"/>
                <w:b/>
                <w:bCs/>
                <w:sz w:val="22"/>
                <w:szCs w:val="22"/>
              </w:rPr>
              <w:t>Task</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Type and classify the incident to assess the risk.</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Begin federal/state/trustee/local stakeholder response partner notifications.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Determine immediate responder and community risks including the need and resources for air monitoring.</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safety/security zones. (may be done via Captain Of The Port Order in marine zones)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Consider the need to evacuation personnel or residents.  </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initial incident objectives.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Begin ICS form 201.</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Develop initial hazard assessment worksheet and start work on initial site specific safety plan.</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Mobilize initial assessment teams (land, water and aerial, as necessary).</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Identify the PIO and connect to other PIOs.  Establish an initial conference call, connect by e-mail or set up a meeting.</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Issue initial joint (response agency) press release (between 30 minutes and 2 hours per area plan policy).</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Determine initial resources for responding.</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Begin resource tracking.</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Identify Unified Command members.  Establish time for an initial conference call, connect by e-mail or set up a meeting.</w:t>
            </w:r>
          </w:p>
        </w:tc>
      </w:tr>
    </w:tbl>
    <w:p w:rsidR="00E33483" w:rsidRDefault="00E33483" w:rsidP="00E33483"/>
    <w:p w:rsidR="00E33483" w:rsidRDefault="00E33483" w:rsidP="00E33483"/>
    <w:p w:rsidR="00E33483" w:rsidRDefault="00E33483" w:rsidP="00E33483">
      <w:pPr>
        <w:pStyle w:val="Heading4"/>
        <w:ind w:right="0"/>
        <w:rPr>
          <w:rFonts w:eastAsia="Times New Roman"/>
        </w:rPr>
      </w:pPr>
      <w:bookmarkStart w:id="3" w:name="_Toc462120060"/>
      <w:r>
        <w:rPr>
          <w:rFonts w:eastAsia="Times New Roman"/>
        </w:rPr>
        <w:t>Unified Command Has Formed, Is Not Yet Co-Located</w:t>
      </w:r>
      <w:bookmarkEnd w:id="3"/>
    </w:p>
    <w:p w:rsidR="00E33483" w:rsidRDefault="00E33483" w:rsidP="00A65FD1">
      <w:pPr>
        <w:pStyle w:val="Heading5"/>
        <w:spacing w:before="120"/>
        <w:ind w:left="1166" w:hanging="1166"/>
        <w:rPr>
          <w:rFonts w:eastAsia="Times New Roman"/>
        </w:rPr>
      </w:pPr>
      <w:bookmarkStart w:id="4" w:name="_Toc462120061"/>
      <w:r>
        <w:rPr>
          <w:rFonts w:eastAsia="Times New Roman"/>
        </w:rPr>
        <w:t>Day 1 Hour +3</w:t>
      </w:r>
      <w:bookmarkEnd w:id="4"/>
    </w:p>
    <w:p w:rsidR="00E33483" w:rsidRDefault="00E33483" w:rsidP="00E33483">
      <w:pPr>
        <w:keepNext/>
        <w:spacing w:after="120"/>
        <w:rPr>
          <w:i/>
          <w:iCs/>
        </w:rPr>
      </w:pPr>
      <w:r>
        <w:rPr>
          <w:i/>
          <w:iCs/>
        </w:rPr>
        <w:t>Please note: although these tasks are assigned according to ICS position, they should not wait until an incident specific IMT is established.  The tasks can be accomplished by any individual supporting the response.</w:t>
      </w:r>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
        <w:gridCol w:w="2880"/>
        <w:gridCol w:w="7344"/>
      </w:tblGrid>
      <w:tr w:rsidR="00E33483" w:rsidTr="00E33483">
        <w:trPr>
          <w:tblHeader/>
        </w:trPr>
        <w:tc>
          <w:tcPr>
            <w:tcW w:w="576" w:type="dxa"/>
            <w:tcMar>
              <w:top w:w="0" w:type="dxa"/>
              <w:left w:w="108" w:type="dxa"/>
              <w:bottom w:w="0" w:type="dxa"/>
              <w:right w:w="108" w:type="dxa"/>
            </w:tcMar>
            <w:hideMark/>
          </w:tcPr>
          <w:p w:rsidR="00E33483" w:rsidRDefault="00E33483">
            <w:pPr>
              <w:jc w:val="center"/>
              <w:rPr>
                <w:rFonts w:ascii="Arial Bold" w:hAnsi="Arial Bold"/>
                <w:b/>
                <w:bCs/>
                <w:sz w:val="22"/>
                <w:szCs w:val="22"/>
              </w:rPr>
            </w:pPr>
            <w:r>
              <w:rPr>
                <w:rFonts w:ascii="Arial Bold" w:hAnsi="Arial Bold"/>
                <w:b/>
                <w:bCs/>
                <w:sz w:val="22"/>
                <w:szCs w:val="22"/>
              </w:rPr>
              <w:t>√</w:t>
            </w:r>
          </w:p>
        </w:tc>
        <w:tc>
          <w:tcPr>
            <w:tcW w:w="2880" w:type="dxa"/>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Assigned To</w:t>
            </w:r>
          </w:p>
        </w:tc>
        <w:tc>
          <w:tcPr>
            <w:tcW w:w="7344" w:type="dxa"/>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Task</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Request Scientific Support Coordinator assistance and order trajectories. </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Obtain Safety Data Sheet(s) or other data from spiller to identify oil / hazardous material properties.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overflight assessment and observation feedback loop to response partners.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Identify Geographic Response Plan priorities. Communicate on priorities with response contractors. Begin compiling ICS Form 232, Resources at Risk form.</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Determine port closure options/necessity.</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Establish contact with local Emergency Operations Center/City/County Emergency Managers, begin to share information.  </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Continue making broader tribal, elected official and stakeholder notifications.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Locate and secure joint Command Post, as needed.</w:t>
            </w:r>
          </w:p>
        </w:tc>
      </w:tr>
    </w:tbl>
    <w:p w:rsidR="00E33483" w:rsidRDefault="00E33483" w:rsidP="00E33483"/>
    <w:p w:rsidR="00E33483" w:rsidRDefault="00E33483" w:rsidP="00E33483">
      <w:pPr>
        <w:pStyle w:val="Heading4"/>
        <w:ind w:right="0"/>
        <w:rPr>
          <w:rFonts w:eastAsia="Times New Roman"/>
        </w:rPr>
      </w:pPr>
      <w:bookmarkStart w:id="5" w:name="_Toc462120062"/>
      <w:r>
        <w:rPr>
          <w:rFonts w:eastAsia="Times New Roman"/>
        </w:rPr>
        <w:t>Unified Command Has Formed, Has Plans and Timeframe to Co-Locate</w:t>
      </w:r>
      <w:bookmarkEnd w:id="5"/>
    </w:p>
    <w:p w:rsidR="00E33483" w:rsidRDefault="00E33483" w:rsidP="00A65FD1">
      <w:pPr>
        <w:pStyle w:val="Heading5"/>
        <w:spacing w:before="120" w:after="120"/>
        <w:ind w:left="1166" w:hanging="1166"/>
        <w:rPr>
          <w:rFonts w:eastAsia="Times New Roman"/>
        </w:rPr>
      </w:pPr>
      <w:bookmarkStart w:id="6" w:name="_Toc462120063"/>
      <w:r>
        <w:rPr>
          <w:rFonts w:eastAsia="Times New Roman"/>
        </w:rPr>
        <w:t>Day 1 Hour +5</w:t>
      </w:r>
      <w:bookmarkEnd w:id="6"/>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
        <w:gridCol w:w="2880"/>
        <w:gridCol w:w="7344"/>
      </w:tblGrid>
      <w:tr w:rsidR="00E33483" w:rsidTr="00E33483">
        <w:trPr>
          <w:tblHeader/>
        </w:trPr>
        <w:tc>
          <w:tcPr>
            <w:tcW w:w="576" w:type="dxa"/>
            <w:tcMar>
              <w:top w:w="0" w:type="dxa"/>
              <w:left w:w="108" w:type="dxa"/>
              <w:bottom w:w="0" w:type="dxa"/>
              <w:right w:w="108" w:type="dxa"/>
            </w:tcMar>
            <w:hideMark/>
          </w:tcPr>
          <w:p w:rsidR="00E33483" w:rsidRDefault="00E33483">
            <w:pPr>
              <w:jc w:val="center"/>
              <w:rPr>
                <w:rFonts w:ascii="Arial Bold" w:hAnsi="Arial Bold"/>
                <w:b/>
                <w:bCs/>
                <w:sz w:val="22"/>
                <w:szCs w:val="22"/>
              </w:rPr>
            </w:pPr>
            <w:r>
              <w:rPr>
                <w:rFonts w:ascii="Arial Bold" w:hAnsi="Arial Bold"/>
                <w:b/>
                <w:bCs/>
                <w:sz w:val="22"/>
                <w:szCs w:val="22"/>
              </w:rPr>
              <w:t>√</w:t>
            </w:r>
          </w:p>
        </w:tc>
        <w:tc>
          <w:tcPr>
            <w:tcW w:w="2880" w:type="dxa"/>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Assigned To</w:t>
            </w:r>
          </w:p>
        </w:tc>
        <w:tc>
          <w:tcPr>
            <w:tcW w:w="7344" w:type="dxa"/>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Task</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Transition to joint Command Post as necessary.</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Agree on common operating picture.</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Request Endangered Species Act emergency consultation, using information from the ICS Form 232 and the form provided in Section 9404.</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Identify and notify commercial / private fish and shellfish owners.  Identify and notify downstream drinking, agricultural, and industrial water users.  Communicate with the Environmental Unit.</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Determine need and establish temporary flight restriction, as necessary.</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Consider whether vessel of opportunity skimming systems, public equipment caches or U.S. Naval response resources (local or SUPSALV) are needed.  Order as applicable.</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Engage with tribal enforcement and local health departments to open communication concerning shelter in place, fisheries closures and water user impacts.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Coordinate to determine staging areas.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Consider night operations, begin planning for staffing, support and shifts, as appropriate.</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For cross border incident (international or state boundaries), establish liaison between governments/Governors.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Identify accommodations (hotels, motels, etc.) and food service companies to support responders.</w:t>
            </w:r>
          </w:p>
        </w:tc>
      </w:tr>
      <w:tr w:rsidR="00E33483" w:rsidTr="00E33483">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If appropriate to consider use of dispersants or in-situ burning, notify trustees and tribes to allow time to work through the decision process.</w:t>
            </w:r>
          </w:p>
        </w:tc>
      </w:tr>
      <w:tr w:rsidR="00E33483" w:rsidTr="00E33483">
        <w:tc>
          <w:tcPr>
            <w:tcW w:w="576" w:type="dxa"/>
            <w:tcMar>
              <w:top w:w="0" w:type="dxa"/>
              <w:left w:w="108" w:type="dxa"/>
              <w:bottom w:w="0" w:type="dxa"/>
              <w:right w:w="108" w:type="dxa"/>
            </w:tcMar>
          </w:tcPr>
          <w:p w:rsidR="00E33483" w:rsidRDefault="00E33483"/>
        </w:tc>
        <w:tc>
          <w:tcPr>
            <w:tcW w:w="2880" w:type="dxa"/>
            <w:tcMar>
              <w:top w:w="0" w:type="dxa"/>
              <w:left w:w="108" w:type="dxa"/>
              <w:bottom w:w="0" w:type="dxa"/>
              <w:right w:w="108" w:type="dxa"/>
            </w:tcMar>
          </w:tcPr>
          <w:p w:rsidR="00E33483" w:rsidRDefault="00E33483"/>
        </w:tc>
        <w:tc>
          <w:tcPr>
            <w:tcW w:w="7344" w:type="dxa"/>
            <w:tcMar>
              <w:top w:w="0" w:type="dxa"/>
              <w:left w:w="108" w:type="dxa"/>
              <w:bottom w:w="0" w:type="dxa"/>
              <w:right w:w="108" w:type="dxa"/>
            </w:tcMar>
            <w:hideMark/>
          </w:tcPr>
          <w:p w:rsidR="00E33483" w:rsidRDefault="00E33483">
            <w:r>
              <w:t>If appropriate to consider use of dispersants or in-situ burning, mobilize necessary resources.</w:t>
            </w:r>
          </w:p>
        </w:tc>
      </w:tr>
    </w:tbl>
    <w:p w:rsidR="00E33483" w:rsidRDefault="00E33483" w:rsidP="00E33483"/>
    <w:p w:rsidR="00E33483" w:rsidRDefault="00E33483" w:rsidP="00E33483"/>
    <w:p w:rsidR="00E33483" w:rsidRDefault="00E33483" w:rsidP="00E33483">
      <w:pPr>
        <w:pStyle w:val="Heading4"/>
        <w:ind w:right="0"/>
        <w:rPr>
          <w:rFonts w:eastAsia="Times New Roman"/>
        </w:rPr>
      </w:pPr>
      <w:bookmarkStart w:id="7" w:name="_Toc462120064"/>
      <w:r>
        <w:rPr>
          <w:rFonts w:eastAsia="Times New Roman"/>
        </w:rPr>
        <w:t>Unified Command Has Joined Together at an Initial Command Post</w:t>
      </w:r>
      <w:bookmarkEnd w:id="7"/>
    </w:p>
    <w:p w:rsidR="00E33483" w:rsidRDefault="00E33483" w:rsidP="00A65FD1">
      <w:pPr>
        <w:pStyle w:val="Heading5"/>
        <w:spacing w:before="120" w:after="120"/>
        <w:ind w:left="1166" w:hanging="1166"/>
        <w:rPr>
          <w:rFonts w:eastAsia="Times New Roman"/>
        </w:rPr>
      </w:pPr>
      <w:bookmarkStart w:id="8" w:name="_Toc462120065"/>
      <w:r>
        <w:rPr>
          <w:rFonts w:eastAsia="Times New Roman"/>
        </w:rPr>
        <w:t>Hour +10 Day 1</w:t>
      </w:r>
      <w:bookmarkEnd w:id="8"/>
    </w:p>
    <w:tbl>
      <w:tblPr>
        <w:tblW w:w="1071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492"/>
        <w:gridCol w:w="2880"/>
        <w:gridCol w:w="7344"/>
      </w:tblGrid>
      <w:tr w:rsidR="00E33483" w:rsidTr="000A1DEE">
        <w:tc>
          <w:tcPr>
            <w:tcW w:w="492" w:type="dxa"/>
            <w:tcMar>
              <w:top w:w="0" w:type="dxa"/>
              <w:left w:w="108" w:type="dxa"/>
              <w:bottom w:w="0" w:type="dxa"/>
              <w:right w:w="108" w:type="dxa"/>
            </w:tcMar>
            <w:hideMark/>
          </w:tcPr>
          <w:p w:rsidR="00E33483" w:rsidRDefault="00E33483">
            <w:pPr>
              <w:keepNext/>
              <w:jc w:val="center"/>
              <w:rPr>
                <w:rFonts w:ascii="Arial Bold" w:hAnsi="Arial Bold"/>
                <w:b/>
                <w:bCs/>
                <w:sz w:val="22"/>
                <w:szCs w:val="22"/>
              </w:rPr>
            </w:pPr>
            <w:r>
              <w:rPr>
                <w:rFonts w:ascii="Arial Bold" w:hAnsi="Arial Bold"/>
                <w:b/>
                <w:bCs/>
                <w:sz w:val="22"/>
                <w:szCs w:val="22"/>
              </w:rPr>
              <w:t>√</w:t>
            </w:r>
          </w:p>
        </w:tc>
        <w:tc>
          <w:tcPr>
            <w:tcW w:w="2880" w:type="dxa"/>
            <w:tcMar>
              <w:top w:w="0" w:type="dxa"/>
              <w:left w:w="108" w:type="dxa"/>
              <w:bottom w:w="0" w:type="dxa"/>
              <w:right w:w="108" w:type="dxa"/>
            </w:tcMar>
            <w:vAlign w:val="bottom"/>
            <w:hideMark/>
          </w:tcPr>
          <w:p w:rsidR="00E33483" w:rsidRDefault="00E33483">
            <w:pPr>
              <w:keepNext/>
              <w:jc w:val="center"/>
              <w:rPr>
                <w:rFonts w:ascii="Arial Bold" w:hAnsi="Arial Bold"/>
                <w:sz w:val="22"/>
                <w:szCs w:val="22"/>
              </w:rPr>
            </w:pPr>
            <w:r>
              <w:rPr>
                <w:rFonts w:ascii="Arial Bold" w:hAnsi="Arial Bold"/>
                <w:b/>
                <w:bCs/>
                <w:sz w:val="22"/>
                <w:szCs w:val="22"/>
              </w:rPr>
              <w:t>Assigned To</w:t>
            </w:r>
          </w:p>
        </w:tc>
        <w:tc>
          <w:tcPr>
            <w:tcW w:w="7344" w:type="dxa"/>
            <w:tcMar>
              <w:top w:w="0" w:type="dxa"/>
              <w:left w:w="108" w:type="dxa"/>
              <w:bottom w:w="0" w:type="dxa"/>
              <w:right w:w="108" w:type="dxa"/>
            </w:tcMar>
            <w:vAlign w:val="bottom"/>
            <w:hideMark/>
          </w:tcPr>
          <w:p w:rsidR="00E33483" w:rsidRDefault="00E33483">
            <w:pPr>
              <w:keepNext/>
              <w:jc w:val="center"/>
              <w:rPr>
                <w:rFonts w:ascii="Arial Bold" w:hAnsi="Arial Bold"/>
                <w:sz w:val="22"/>
                <w:szCs w:val="22"/>
              </w:rPr>
            </w:pPr>
            <w:r>
              <w:rPr>
                <w:rFonts w:ascii="Arial Bold" w:hAnsi="Arial Bold"/>
                <w:b/>
                <w:bCs/>
                <w:sz w:val="22"/>
                <w:szCs w:val="22"/>
              </w:rPr>
              <w:t>Task</w:t>
            </w:r>
          </w:p>
        </w:tc>
      </w:tr>
      <w:tr w:rsidR="00E33483" w:rsidTr="000A1DEE">
        <w:tc>
          <w:tcPr>
            <w:tcW w:w="492" w:type="dxa"/>
            <w:tcMar>
              <w:top w:w="0" w:type="dxa"/>
              <w:left w:w="108" w:type="dxa"/>
              <w:bottom w:w="0" w:type="dxa"/>
              <w:right w:w="108" w:type="dxa"/>
            </w:tcMar>
          </w:tcPr>
          <w:p w:rsidR="00E33483" w:rsidRDefault="00E33483">
            <w:pPr>
              <w:keepNext/>
              <w:rPr>
                <w:sz w:val="22"/>
                <w:szCs w:val="22"/>
              </w:rPr>
            </w:pPr>
          </w:p>
        </w:tc>
        <w:tc>
          <w:tcPr>
            <w:tcW w:w="2880" w:type="dxa"/>
            <w:tcMar>
              <w:top w:w="0" w:type="dxa"/>
              <w:left w:w="108" w:type="dxa"/>
              <w:bottom w:w="0" w:type="dxa"/>
              <w:right w:w="108" w:type="dxa"/>
            </w:tcMar>
          </w:tcPr>
          <w:p w:rsidR="00E33483" w:rsidRDefault="00E33483">
            <w:pPr>
              <w:keepNext/>
              <w:rPr>
                <w:sz w:val="22"/>
                <w:szCs w:val="22"/>
              </w:rPr>
            </w:pPr>
          </w:p>
        </w:tc>
        <w:tc>
          <w:tcPr>
            <w:tcW w:w="7344" w:type="dxa"/>
            <w:tcMar>
              <w:top w:w="0" w:type="dxa"/>
              <w:left w:w="108" w:type="dxa"/>
              <w:bottom w:w="0" w:type="dxa"/>
              <w:right w:w="108" w:type="dxa"/>
            </w:tcMar>
            <w:hideMark/>
          </w:tcPr>
          <w:p w:rsidR="00E33483" w:rsidRDefault="00E33483">
            <w:pPr>
              <w:keepNext/>
              <w:rPr>
                <w:sz w:val="22"/>
                <w:szCs w:val="22"/>
              </w:rPr>
            </w:pPr>
            <w:r>
              <w:rPr>
                <w:sz w:val="22"/>
                <w:szCs w:val="22"/>
              </w:rPr>
              <w:t>Unified Command to establish overall incident objectives.</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Identify limitations and constraints, critical information requirements.</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Situation Display and gather facts and data to support the response.</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Identify expanded list of resources at risk and complete an ICS form 232. </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Communication Plan, including timing of media releases, social media and press conference protocols.</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Liaison Plan</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Obtain source sample. Plan for sampling needs for the response.</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If appropriate, order “hot shot” SCAT resources for assessing extent of oiling and potential passive techniques to prevent re-oiling.  Plan for long term SCAT.</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Expand staging areas as needed.</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briefing schedule for elected officials and agencies.</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Conduct media briefings.</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Launch a unified, incident-specific web site.</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Consider whether the Command Post is suitable for a long term response.</w:t>
            </w:r>
          </w:p>
        </w:tc>
      </w:tr>
      <w:tr w:rsidR="00E33483" w:rsidTr="000A1DEE">
        <w:tc>
          <w:tcPr>
            <w:tcW w:w="492"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Develop process of managing claims.</w:t>
            </w:r>
          </w:p>
        </w:tc>
      </w:tr>
    </w:tbl>
    <w:p w:rsidR="00E33483" w:rsidRDefault="00E33483" w:rsidP="00E33483"/>
    <w:p w:rsidR="00E33483" w:rsidRDefault="00E33483">
      <w:pPr>
        <w:spacing w:after="160" w:line="259" w:lineRule="auto"/>
      </w:pPr>
      <w:r>
        <w:br w:type="page"/>
      </w:r>
    </w:p>
    <w:p w:rsidR="00E33483" w:rsidRDefault="00E33483" w:rsidP="00E33483">
      <w:pPr>
        <w:pStyle w:val="Heading5"/>
        <w:spacing w:after="120"/>
        <w:ind w:left="1166" w:hanging="1166"/>
        <w:rPr>
          <w:rFonts w:eastAsia="Times New Roman"/>
        </w:rPr>
      </w:pPr>
      <w:bookmarkStart w:id="9" w:name="_Toc462120066"/>
      <w:r>
        <w:rPr>
          <w:rFonts w:eastAsia="Times New Roman"/>
        </w:rPr>
        <w:t>Day 2 Hour +24</w:t>
      </w:r>
      <w:bookmarkEnd w:id="9"/>
    </w:p>
    <w:tbl>
      <w:tblPr>
        <w:tblW w:w="1080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6"/>
        <w:gridCol w:w="2880"/>
        <w:gridCol w:w="7344"/>
      </w:tblGrid>
      <w:tr w:rsidR="00E33483" w:rsidTr="000A1DEE">
        <w:trPr>
          <w:tblHeader/>
        </w:trPr>
        <w:tc>
          <w:tcPr>
            <w:tcW w:w="576" w:type="dxa"/>
            <w:tcMar>
              <w:top w:w="0" w:type="dxa"/>
              <w:left w:w="108" w:type="dxa"/>
              <w:bottom w:w="0" w:type="dxa"/>
              <w:right w:w="108" w:type="dxa"/>
            </w:tcMar>
            <w:hideMark/>
          </w:tcPr>
          <w:p w:rsidR="00E33483" w:rsidRDefault="00E33483">
            <w:pPr>
              <w:jc w:val="center"/>
              <w:rPr>
                <w:rFonts w:ascii="Arial Bold" w:hAnsi="Arial Bold"/>
                <w:b/>
                <w:bCs/>
                <w:sz w:val="22"/>
                <w:szCs w:val="22"/>
              </w:rPr>
            </w:pPr>
            <w:r>
              <w:rPr>
                <w:rFonts w:ascii="Arial Bold" w:hAnsi="Arial Bold"/>
                <w:b/>
                <w:bCs/>
                <w:sz w:val="22"/>
                <w:szCs w:val="22"/>
              </w:rPr>
              <w:t>√</w:t>
            </w:r>
          </w:p>
        </w:tc>
        <w:tc>
          <w:tcPr>
            <w:tcW w:w="2880" w:type="dxa"/>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Assigned To</w:t>
            </w:r>
          </w:p>
        </w:tc>
        <w:tc>
          <w:tcPr>
            <w:tcW w:w="7344" w:type="dxa"/>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Task</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The Information Officer and Liaison Officer together determine the need / timing for community meetings. </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Consider as a best practice, hosting or touring media on or near the scene.</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Assess wildlife impacts. Activate Wildlife Infrastructure as needed.</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Consult with cultural / historical resource specialists as needed.</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Stand up Maritime Transportation System Recovery Unit (MTSRU) and begin cargo prioritization, if appropriate.</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Develop long term staffing and demobilization plans, establish fatigue guidelines.</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Determine documentation management protocols.</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Evaluate the effectiveness of recovery tactics to maximize recovery.</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Plan for disposal, waste issues. </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Plan for decontamination of response / commercial / non-commercial vessels.</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Consider salvage and transfer needs (lightering, </w:t>
            </w:r>
            <w:proofErr w:type="spellStart"/>
            <w:r>
              <w:rPr>
                <w:sz w:val="22"/>
                <w:szCs w:val="22"/>
              </w:rPr>
              <w:t>etc</w:t>
            </w:r>
            <w:proofErr w:type="spellEnd"/>
            <w:r>
              <w:rPr>
                <w:sz w:val="22"/>
                <w:szCs w:val="22"/>
              </w:rPr>
              <w:t>).</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Communicate the claims process to communities, municipalities and business owners.</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Implement west coast mutual aid agreement and begin cascading of resources from out of region, if necessary.</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Inform or otherwise convene the Regional Response Team (RRT) for assistance.</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 xml:space="preserve">Finalize, distribute, and brief safety plan.  </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Establish a volunteer policy as necessary, and develop a volunteer management plan.</w:t>
            </w:r>
          </w:p>
        </w:tc>
      </w:tr>
      <w:tr w:rsidR="00E33483" w:rsidTr="000A1DEE">
        <w:tc>
          <w:tcPr>
            <w:tcW w:w="576" w:type="dxa"/>
            <w:tcMar>
              <w:top w:w="0" w:type="dxa"/>
              <w:left w:w="108" w:type="dxa"/>
              <w:bottom w:w="0" w:type="dxa"/>
              <w:right w:w="108" w:type="dxa"/>
            </w:tcMar>
          </w:tcPr>
          <w:p w:rsidR="00E33483" w:rsidRDefault="00E33483">
            <w:pPr>
              <w:rPr>
                <w:sz w:val="22"/>
                <w:szCs w:val="22"/>
              </w:rPr>
            </w:pPr>
          </w:p>
        </w:tc>
        <w:tc>
          <w:tcPr>
            <w:tcW w:w="2880" w:type="dxa"/>
            <w:tcMar>
              <w:top w:w="0" w:type="dxa"/>
              <w:left w:w="108" w:type="dxa"/>
              <w:bottom w:w="0" w:type="dxa"/>
              <w:right w:w="108" w:type="dxa"/>
            </w:tcMar>
          </w:tcPr>
          <w:p w:rsidR="00E33483" w:rsidRDefault="00E33483">
            <w:pPr>
              <w:rPr>
                <w:sz w:val="22"/>
                <w:szCs w:val="22"/>
              </w:rPr>
            </w:pPr>
          </w:p>
        </w:tc>
        <w:tc>
          <w:tcPr>
            <w:tcW w:w="7344" w:type="dxa"/>
            <w:tcMar>
              <w:top w:w="0" w:type="dxa"/>
              <w:left w:w="108" w:type="dxa"/>
              <w:bottom w:w="0" w:type="dxa"/>
              <w:right w:w="108" w:type="dxa"/>
            </w:tcMar>
            <w:hideMark/>
          </w:tcPr>
          <w:p w:rsidR="00E33483" w:rsidRDefault="00E33483">
            <w:pPr>
              <w:rPr>
                <w:sz w:val="22"/>
                <w:szCs w:val="22"/>
              </w:rPr>
            </w:pPr>
            <w:r>
              <w:rPr>
                <w:sz w:val="22"/>
                <w:szCs w:val="22"/>
              </w:rPr>
              <w:t>Track all costs and communicate a burn rate to Unified Command.</w:t>
            </w:r>
          </w:p>
        </w:tc>
      </w:tr>
    </w:tbl>
    <w:p w:rsidR="00E33483" w:rsidRDefault="00E33483" w:rsidP="00E33483"/>
    <w:p w:rsidR="00E33483" w:rsidRDefault="00E33483" w:rsidP="00E33483"/>
    <w:p w:rsidR="00E33483" w:rsidRDefault="00E33483" w:rsidP="00E33483">
      <w:pPr>
        <w:pStyle w:val="Heading5"/>
        <w:spacing w:after="120"/>
        <w:ind w:left="1166" w:hanging="1166"/>
        <w:rPr>
          <w:rFonts w:eastAsia="Times New Roman"/>
        </w:rPr>
      </w:pPr>
      <w:bookmarkStart w:id="10" w:name="_Toc462120067"/>
      <w:r>
        <w:rPr>
          <w:rFonts w:eastAsia="Times New Roman"/>
        </w:rPr>
        <w:t>Day 3 Hour +48</w:t>
      </w:r>
      <w:bookmarkEnd w:id="10"/>
    </w:p>
    <w:tbl>
      <w:tblPr>
        <w:tblW w:w="5009"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77"/>
        <w:gridCol w:w="2882"/>
        <w:gridCol w:w="7350"/>
      </w:tblGrid>
      <w:tr w:rsidR="00E33483" w:rsidTr="000A1DEE">
        <w:tc>
          <w:tcPr>
            <w:tcW w:w="267" w:type="pct"/>
            <w:tcMar>
              <w:top w:w="0" w:type="dxa"/>
              <w:left w:w="108" w:type="dxa"/>
              <w:bottom w:w="0" w:type="dxa"/>
              <w:right w:w="108" w:type="dxa"/>
            </w:tcMar>
            <w:hideMark/>
          </w:tcPr>
          <w:p w:rsidR="00E33483" w:rsidRDefault="00E33483">
            <w:pPr>
              <w:jc w:val="center"/>
              <w:rPr>
                <w:rFonts w:ascii="Arial Bold" w:hAnsi="Arial Bold"/>
                <w:b/>
                <w:bCs/>
                <w:sz w:val="22"/>
                <w:szCs w:val="22"/>
              </w:rPr>
            </w:pPr>
            <w:r>
              <w:rPr>
                <w:rFonts w:ascii="Arial Bold" w:hAnsi="Arial Bold"/>
                <w:b/>
                <w:bCs/>
                <w:sz w:val="22"/>
                <w:szCs w:val="22"/>
              </w:rPr>
              <w:t>√</w:t>
            </w:r>
          </w:p>
        </w:tc>
        <w:tc>
          <w:tcPr>
            <w:tcW w:w="1333" w:type="pct"/>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Assigned To</w:t>
            </w:r>
          </w:p>
        </w:tc>
        <w:tc>
          <w:tcPr>
            <w:tcW w:w="3400" w:type="pct"/>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Task</w:t>
            </w:r>
          </w:p>
        </w:tc>
      </w:tr>
      <w:tr w:rsidR="00E33483" w:rsidTr="000A1DEE">
        <w:tc>
          <w:tcPr>
            <w:tcW w:w="267" w:type="pct"/>
            <w:tcMar>
              <w:top w:w="0" w:type="dxa"/>
              <w:left w:w="108" w:type="dxa"/>
              <w:bottom w:w="0" w:type="dxa"/>
              <w:right w:w="108" w:type="dxa"/>
            </w:tcMar>
          </w:tcPr>
          <w:p w:rsidR="00E33483" w:rsidRDefault="00E33483">
            <w:pPr>
              <w:rPr>
                <w:sz w:val="22"/>
                <w:szCs w:val="22"/>
              </w:rPr>
            </w:pPr>
          </w:p>
        </w:tc>
        <w:tc>
          <w:tcPr>
            <w:tcW w:w="1333" w:type="pct"/>
            <w:tcMar>
              <w:top w:w="0" w:type="dxa"/>
              <w:left w:w="108" w:type="dxa"/>
              <w:bottom w:w="0" w:type="dxa"/>
              <w:right w:w="108" w:type="dxa"/>
            </w:tcMar>
          </w:tcPr>
          <w:p w:rsidR="00E33483" w:rsidRDefault="00E33483">
            <w:pPr>
              <w:rPr>
                <w:sz w:val="22"/>
                <w:szCs w:val="22"/>
              </w:rPr>
            </w:pPr>
          </w:p>
        </w:tc>
        <w:tc>
          <w:tcPr>
            <w:tcW w:w="3400" w:type="pct"/>
            <w:tcMar>
              <w:top w:w="0" w:type="dxa"/>
              <w:left w:w="108" w:type="dxa"/>
              <w:bottom w:w="0" w:type="dxa"/>
              <w:right w:w="108" w:type="dxa"/>
            </w:tcMar>
            <w:hideMark/>
          </w:tcPr>
          <w:p w:rsidR="00E33483" w:rsidRDefault="00E33483">
            <w:pPr>
              <w:rPr>
                <w:sz w:val="22"/>
                <w:szCs w:val="22"/>
              </w:rPr>
            </w:pPr>
            <w:r>
              <w:rPr>
                <w:sz w:val="22"/>
                <w:szCs w:val="22"/>
              </w:rPr>
              <w:t>Develop long term staffing and demobilization plans.</w:t>
            </w:r>
          </w:p>
        </w:tc>
      </w:tr>
      <w:tr w:rsidR="00E33483" w:rsidTr="000A1DEE">
        <w:tc>
          <w:tcPr>
            <w:tcW w:w="267" w:type="pct"/>
            <w:tcMar>
              <w:top w:w="0" w:type="dxa"/>
              <w:left w:w="108" w:type="dxa"/>
              <w:bottom w:w="0" w:type="dxa"/>
              <w:right w:w="108" w:type="dxa"/>
            </w:tcMar>
          </w:tcPr>
          <w:p w:rsidR="00E33483" w:rsidRDefault="00E33483">
            <w:pPr>
              <w:rPr>
                <w:sz w:val="22"/>
                <w:szCs w:val="22"/>
              </w:rPr>
            </w:pPr>
          </w:p>
        </w:tc>
        <w:tc>
          <w:tcPr>
            <w:tcW w:w="1333" w:type="pct"/>
            <w:tcMar>
              <w:top w:w="0" w:type="dxa"/>
              <w:left w:w="108" w:type="dxa"/>
              <w:bottom w:w="0" w:type="dxa"/>
              <w:right w:w="108" w:type="dxa"/>
            </w:tcMar>
          </w:tcPr>
          <w:p w:rsidR="00E33483" w:rsidRDefault="00E33483">
            <w:pPr>
              <w:rPr>
                <w:sz w:val="22"/>
                <w:szCs w:val="22"/>
              </w:rPr>
            </w:pPr>
          </w:p>
        </w:tc>
        <w:tc>
          <w:tcPr>
            <w:tcW w:w="3400" w:type="pct"/>
            <w:tcMar>
              <w:top w:w="0" w:type="dxa"/>
              <w:left w:w="108" w:type="dxa"/>
              <w:bottom w:w="0" w:type="dxa"/>
              <w:right w:w="108" w:type="dxa"/>
            </w:tcMar>
            <w:hideMark/>
          </w:tcPr>
          <w:p w:rsidR="00E33483" w:rsidRDefault="00E33483">
            <w:pPr>
              <w:rPr>
                <w:sz w:val="22"/>
                <w:szCs w:val="22"/>
              </w:rPr>
            </w:pPr>
            <w:r>
              <w:rPr>
                <w:sz w:val="22"/>
                <w:szCs w:val="22"/>
              </w:rPr>
              <w:t>Refine vessel traffic plan.</w:t>
            </w:r>
          </w:p>
        </w:tc>
      </w:tr>
      <w:tr w:rsidR="00E33483" w:rsidTr="000A1DEE">
        <w:tc>
          <w:tcPr>
            <w:tcW w:w="267" w:type="pct"/>
            <w:tcMar>
              <w:top w:w="0" w:type="dxa"/>
              <w:left w:w="108" w:type="dxa"/>
              <w:bottom w:w="0" w:type="dxa"/>
              <w:right w:w="108" w:type="dxa"/>
            </w:tcMar>
          </w:tcPr>
          <w:p w:rsidR="00E33483" w:rsidRDefault="00E33483">
            <w:pPr>
              <w:rPr>
                <w:sz w:val="22"/>
                <w:szCs w:val="22"/>
              </w:rPr>
            </w:pPr>
          </w:p>
        </w:tc>
        <w:tc>
          <w:tcPr>
            <w:tcW w:w="1333" w:type="pct"/>
            <w:tcMar>
              <w:top w:w="0" w:type="dxa"/>
              <w:left w:w="108" w:type="dxa"/>
              <w:bottom w:w="0" w:type="dxa"/>
              <w:right w:w="108" w:type="dxa"/>
            </w:tcMar>
          </w:tcPr>
          <w:p w:rsidR="00E33483" w:rsidRDefault="00E33483">
            <w:pPr>
              <w:rPr>
                <w:sz w:val="22"/>
                <w:szCs w:val="22"/>
              </w:rPr>
            </w:pPr>
          </w:p>
        </w:tc>
        <w:tc>
          <w:tcPr>
            <w:tcW w:w="3400" w:type="pct"/>
            <w:tcMar>
              <w:top w:w="0" w:type="dxa"/>
              <w:left w:w="108" w:type="dxa"/>
              <w:bottom w:w="0" w:type="dxa"/>
              <w:right w:w="108" w:type="dxa"/>
            </w:tcMar>
            <w:hideMark/>
          </w:tcPr>
          <w:p w:rsidR="00E33483" w:rsidRDefault="00E33483">
            <w:pPr>
              <w:rPr>
                <w:sz w:val="22"/>
                <w:szCs w:val="22"/>
              </w:rPr>
            </w:pPr>
            <w:r>
              <w:rPr>
                <w:sz w:val="22"/>
                <w:szCs w:val="22"/>
              </w:rPr>
              <w:t>Activate Volunteer Management Plan, as needed.</w:t>
            </w:r>
          </w:p>
        </w:tc>
      </w:tr>
      <w:tr w:rsidR="00E33483" w:rsidTr="000A1DEE">
        <w:tc>
          <w:tcPr>
            <w:tcW w:w="267" w:type="pct"/>
            <w:tcMar>
              <w:top w:w="0" w:type="dxa"/>
              <w:left w:w="108" w:type="dxa"/>
              <w:bottom w:w="0" w:type="dxa"/>
              <w:right w:w="108" w:type="dxa"/>
            </w:tcMar>
          </w:tcPr>
          <w:p w:rsidR="00E33483" w:rsidRDefault="00E33483">
            <w:pPr>
              <w:rPr>
                <w:sz w:val="22"/>
                <w:szCs w:val="22"/>
              </w:rPr>
            </w:pPr>
          </w:p>
        </w:tc>
        <w:tc>
          <w:tcPr>
            <w:tcW w:w="1333" w:type="pct"/>
            <w:tcMar>
              <w:top w:w="0" w:type="dxa"/>
              <w:left w:w="108" w:type="dxa"/>
              <w:bottom w:w="0" w:type="dxa"/>
              <w:right w:w="108" w:type="dxa"/>
            </w:tcMar>
          </w:tcPr>
          <w:p w:rsidR="00E33483" w:rsidRDefault="00E33483">
            <w:pPr>
              <w:rPr>
                <w:sz w:val="22"/>
                <w:szCs w:val="22"/>
              </w:rPr>
            </w:pPr>
          </w:p>
        </w:tc>
        <w:tc>
          <w:tcPr>
            <w:tcW w:w="3400" w:type="pct"/>
            <w:tcMar>
              <w:top w:w="0" w:type="dxa"/>
              <w:left w:w="108" w:type="dxa"/>
              <w:bottom w:w="0" w:type="dxa"/>
              <w:right w:w="108" w:type="dxa"/>
            </w:tcMar>
            <w:hideMark/>
          </w:tcPr>
          <w:p w:rsidR="00E33483" w:rsidRDefault="00E33483">
            <w:pPr>
              <w:rPr>
                <w:sz w:val="22"/>
                <w:szCs w:val="22"/>
              </w:rPr>
            </w:pPr>
            <w:r>
              <w:rPr>
                <w:sz w:val="22"/>
                <w:szCs w:val="22"/>
              </w:rPr>
              <w:t>Continue communication with the incident specific RRT.</w:t>
            </w:r>
          </w:p>
        </w:tc>
      </w:tr>
      <w:tr w:rsidR="00E33483" w:rsidTr="000A1DEE">
        <w:tc>
          <w:tcPr>
            <w:tcW w:w="267" w:type="pct"/>
            <w:tcMar>
              <w:top w:w="0" w:type="dxa"/>
              <w:left w:w="108" w:type="dxa"/>
              <w:bottom w:w="0" w:type="dxa"/>
              <w:right w:w="108" w:type="dxa"/>
            </w:tcMar>
          </w:tcPr>
          <w:p w:rsidR="00E33483" w:rsidRDefault="00E33483">
            <w:pPr>
              <w:rPr>
                <w:sz w:val="22"/>
                <w:szCs w:val="22"/>
              </w:rPr>
            </w:pPr>
          </w:p>
        </w:tc>
        <w:tc>
          <w:tcPr>
            <w:tcW w:w="1333" w:type="pct"/>
            <w:tcMar>
              <w:top w:w="0" w:type="dxa"/>
              <w:left w:w="108" w:type="dxa"/>
              <w:bottom w:w="0" w:type="dxa"/>
              <w:right w:w="108" w:type="dxa"/>
            </w:tcMar>
          </w:tcPr>
          <w:p w:rsidR="00E33483" w:rsidRDefault="00E33483">
            <w:pPr>
              <w:rPr>
                <w:sz w:val="22"/>
                <w:szCs w:val="22"/>
              </w:rPr>
            </w:pPr>
          </w:p>
        </w:tc>
        <w:tc>
          <w:tcPr>
            <w:tcW w:w="3400" w:type="pct"/>
            <w:tcMar>
              <w:top w:w="0" w:type="dxa"/>
              <w:left w:w="108" w:type="dxa"/>
              <w:bottom w:w="0" w:type="dxa"/>
              <w:right w:w="108" w:type="dxa"/>
            </w:tcMar>
            <w:hideMark/>
          </w:tcPr>
          <w:p w:rsidR="00E33483" w:rsidRDefault="00E33483">
            <w:pPr>
              <w:rPr>
                <w:sz w:val="22"/>
                <w:szCs w:val="22"/>
              </w:rPr>
            </w:pPr>
            <w:r>
              <w:rPr>
                <w:sz w:val="22"/>
                <w:szCs w:val="22"/>
              </w:rPr>
              <w:t>Adjust daily cycle of activities accordingly.</w:t>
            </w:r>
          </w:p>
        </w:tc>
      </w:tr>
    </w:tbl>
    <w:p w:rsidR="00E33483" w:rsidRDefault="00E33483" w:rsidP="00E33483"/>
    <w:p w:rsidR="00E33483" w:rsidRDefault="00E33483" w:rsidP="00E33483"/>
    <w:p w:rsidR="00E33483" w:rsidRDefault="00E33483" w:rsidP="00E33483">
      <w:pPr>
        <w:pStyle w:val="Heading5"/>
        <w:spacing w:after="120"/>
        <w:ind w:left="1166" w:hanging="1166"/>
        <w:rPr>
          <w:rFonts w:eastAsia="Times New Roman"/>
        </w:rPr>
      </w:pPr>
      <w:bookmarkStart w:id="11" w:name="_Toc462120068"/>
      <w:r>
        <w:rPr>
          <w:rFonts w:eastAsia="Times New Roman"/>
        </w:rPr>
        <w:t>Day 3-4 Hour +96</w:t>
      </w:r>
      <w:bookmarkEnd w:id="11"/>
    </w:p>
    <w:tbl>
      <w:tblPr>
        <w:tblW w:w="4994"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0" w:type="dxa"/>
          <w:right w:w="0" w:type="dxa"/>
        </w:tblCellMar>
        <w:tblLook w:val="04A0" w:firstRow="1" w:lastRow="0" w:firstColumn="1" w:lastColumn="0" w:noHBand="0" w:noVBand="1"/>
      </w:tblPr>
      <w:tblGrid>
        <w:gridCol w:w="569"/>
        <w:gridCol w:w="2858"/>
        <w:gridCol w:w="7350"/>
      </w:tblGrid>
      <w:tr w:rsidR="000A1DEE" w:rsidTr="000A1DEE">
        <w:tc>
          <w:tcPr>
            <w:tcW w:w="264" w:type="pct"/>
            <w:tcMar>
              <w:top w:w="0" w:type="dxa"/>
              <w:left w:w="108" w:type="dxa"/>
              <w:bottom w:w="0" w:type="dxa"/>
              <w:right w:w="108" w:type="dxa"/>
            </w:tcMar>
            <w:hideMark/>
          </w:tcPr>
          <w:p w:rsidR="00E33483" w:rsidRDefault="00E33483">
            <w:pPr>
              <w:jc w:val="center"/>
              <w:rPr>
                <w:rFonts w:ascii="Arial Bold" w:hAnsi="Arial Bold"/>
                <w:b/>
                <w:bCs/>
                <w:sz w:val="22"/>
                <w:szCs w:val="22"/>
              </w:rPr>
            </w:pPr>
            <w:r>
              <w:rPr>
                <w:rFonts w:ascii="Arial Bold" w:hAnsi="Arial Bold"/>
                <w:b/>
                <w:bCs/>
                <w:sz w:val="22"/>
                <w:szCs w:val="22"/>
              </w:rPr>
              <w:t>√</w:t>
            </w:r>
          </w:p>
        </w:tc>
        <w:tc>
          <w:tcPr>
            <w:tcW w:w="1326" w:type="pct"/>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Assigned To</w:t>
            </w:r>
          </w:p>
        </w:tc>
        <w:tc>
          <w:tcPr>
            <w:tcW w:w="3410" w:type="pct"/>
            <w:tcMar>
              <w:top w:w="0" w:type="dxa"/>
              <w:left w:w="108" w:type="dxa"/>
              <w:bottom w:w="0" w:type="dxa"/>
              <w:right w:w="108" w:type="dxa"/>
            </w:tcMar>
            <w:vAlign w:val="bottom"/>
            <w:hideMark/>
          </w:tcPr>
          <w:p w:rsidR="00E33483" w:rsidRDefault="00E33483">
            <w:pPr>
              <w:jc w:val="center"/>
              <w:rPr>
                <w:rFonts w:ascii="Arial Bold" w:hAnsi="Arial Bold"/>
                <w:sz w:val="22"/>
                <w:szCs w:val="22"/>
              </w:rPr>
            </w:pPr>
            <w:r>
              <w:rPr>
                <w:rFonts w:ascii="Arial Bold" w:hAnsi="Arial Bold"/>
                <w:b/>
                <w:bCs/>
                <w:sz w:val="22"/>
                <w:szCs w:val="22"/>
              </w:rPr>
              <w:t>Task</w:t>
            </w:r>
          </w:p>
        </w:tc>
      </w:tr>
      <w:tr w:rsidR="000A1DEE" w:rsidTr="000A1DEE">
        <w:tc>
          <w:tcPr>
            <w:tcW w:w="264" w:type="pct"/>
            <w:tcMar>
              <w:top w:w="0" w:type="dxa"/>
              <w:left w:w="108" w:type="dxa"/>
              <w:bottom w:w="0" w:type="dxa"/>
              <w:right w:w="108" w:type="dxa"/>
            </w:tcMar>
          </w:tcPr>
          <w:p w:rsidR="00E33483" w:rsidRDefault="00E33483">
            <w:pPr>
              <w:rPr>
                <w:sz w:val="22"/>
                <w:szCs w:val="22"/>
              </w:rPr>
            </w:pPr>
          </w:p>
        </w:tc>
        <w:tc>
          <w:tcPr>
            <w:tcW w:w="1326" w:type="pct"/>
            <w:tcMar>
              <w:top w:w="0" w:type="dxa"/>
              <w:left w:w="108" w:type="dxa"/>
              <w:bottom w:w="0" w:type="dxa"/>
              <w:right w:w="108" w:type="dxa"/>
            </w:tcMar>
          </w:tcPr>
          <w:p w:rsidR="00E33483" w:rsidRDefault="00E33483">
            <w:pPr>
              <w:rPr>
                <w:sz w:val="22"/>
                <w:szCs w:val="22"/>
              </w:rPr>
            </w:pPr>
          </w:p>
        </w:tc>
        <w:tc>
          <w:tcPr>
            <w:tcW w:w="3410" w:type="pct"/>
            <w:tcMar>
              <w:top w:w="0" w:type="dxa"/>
              <w:left w:w="108" w:type="dxa"/>
              <w:bottom w:w="0" w:type="dxa"/>
              <w:right w:w="108" w:type="dxa"/>
            </w:tcMar>
            <w:hideMark/>
          </w:tcPr>
          <w:p w:rsidR="00E33483" w:rsidRDefault="00E33483">
            <w:pPr>
              <w:rPr>
                <w:sz w:val="22"/>
                <w:szCs w:val="22"/>
              </w:rPr>
            </w:pPr>
            <w:r>
              <w:rPr>
                <w:sz w:val="22"/>
                <w:szCs w:val="22"/>
              </w:rPr>
              <w:t>Continue communication with RRT.</w:t>
            </w:r>
          </w:p>
        </w:tc>
      </w:tr>
      <w:tr w:rsidR="000A1DEE" w:rsidTr="000A1DEE">
        <w:tc>
          <w:tcPr>
            <w:tcW w:w="264" w:type="pct"/>
            <w:tcMar>
              <w:top w:w="0" w:type="dxa"/>
              <w:left w:w="108" w:type="dxa"/>
              <w:bottom w:w="0" w:type="dxa"/>
              <w:right w:w="108" w:type="dxa"/>
            </w:tcMar>
          </w:tcPr>
          <w:p w:rsidR="00E33483" w:rsidRDefault="00E33483">
            <w:pPr>
              <w:rPr>
                <w:sz w:val="22"/>
                <w:szCs w:val="22"/>
              </w:rPr>
            </w:pPr>
          </w:p>
        </w:tc>
        <w:tc>
          <w:tcPr>
            <w:tcW w:w="1326" w:type="pct"/>
            <w:tcMar>
              <w:top w:w="0" w:type="dxa"/>
              <w:left w:w="108" w:type="dxa"/>
              <w:bottom w:w="0" w:type="dxa"/>
              <w:right w:w="108" w:type="dxa"/>
            </w:tcMar>
          </w:tcPr>
          <w:p w:rsidR="00E33483" w:rsidRDefault="00E33483">
            <w:pPr>
              <w:rPr>
                <w:sz w:val="22"/>
                <w:szCs w:val="22"/>
              </w:rPr>
            </w:pPr>
          </w:p>
        </w:tc>
        <w:tc>
          <w:tcPr>
            <w:tcW w:w="3410" w:type="pct"/>
            <w:tcMar>
              <w:top w:w="0" w:type="dxa"/>
              <w:left w:w="108" w:type="dxa"/>
              <w:bottom w:w="0" w:type="dxa"/>
              <w:right w:w="108" w:type="dxa"/>
            </w:tcMar>
            <w:hideMark/>
          </w:tcPr>
          <w:p w:rsidR="00E33483" w:rsidRDefault="00E33483">
            <w:pPr>
              <w:rPr>
                <w:sz w:val="22"/>
                <w:szCs w:val="22"/>
              </w:rPr>
            </w:pPr>
            <w:r>
              <w:rPr>
                <w:sz w:val="22"/>
                <w:szCs w:val="22"/>
              </w:rPr>
              <w:t>Adjust daily cycle accordingly.</w:t>
            </w:r>
          </w:p>
        </w:tc>
      </w:tr>
    </w:tbl>
    <w:p w:rsidR="00E33483" w:rsidRDefault="00E33483" w:rsidP="00E33483">
      <w:pPr>
        <w:rPr>
          <w:rFonts w:ascii="Calibri" w:hAnsi="Calibri"/>
          <w:sz w:val="22"/>
          <w:szCs w:val="22"/>
        </w:rPr>
      </w:pPr>
    </w:p>
    <w:p w:rsidR="00E21BDB" w:rsidRDefault="00E21BDB"/>
    <w:sectPr w:rsidR="00E21BDB" w:rsidSect="00E3348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Arial">
    <w:panose1 w:val="020B0604020202020204"/>
    <w:charset w:val="00"/>
    <w:family w:val="swiss"/>
    <w:pitch w:val="variable"/>
    <w:sig w:usb0="E0002AFF" w:usb1="C0007843" w:usb2="00000009" w:usb3="00000000" w:csb0="000001FF" w:csb1="00000000"/>
  </w:font>
  <w:font w:name="Arial Bold">
    <w:panose1 w:val="020B0704020202020204"/>
    <w:charset w:val="00"/>
    <w:family w:val="auto"/>
    <w:pitch w:val="default"/>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33483"/>
    <w:rsid w:val="000A1DEE"/>
    <w:rsid w:val="00A65FD1"/>
    <w:rsid w:val="00E21BDB"/>
    <w:rsid w:val="00E3348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023F24C9-C216-4B2D-8844-2F8F4E8CC9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33483"/>
    <w:pPr>
      <w:spacing w:after="0" w:line="240" w:lineRule="auto"/>
    </w:pPr>
    <w:rPr>
      <w:rFonts w:ascii="Times New Roman" w:hAnsi="Times New Roman" w:cs="Times New Roman"/>
      <w:sz w:val="24"/>
      <w:szCs w:val="24"/>
    </w:rPr>
  </w:style>
  <w:style w:type="paragraph" w:styleId="Heading3">
    <w:name w:val="heading 3"/>
    <w:basedOn w:val="Normal"/>
    <w:link w:val="Heading3Char"/>
    <w:uiPriority w:val="9"/>
    <w:semiHidden/>
    <w:unhideWhenUsed/>
    <w:qFormat/>
    <w:rsid w:val="00E33483"/>
    <w:pPr>
      <w:keepNext/>
      <w:ind w:left="810" w:hanging="810"/>
      <w:outlineLvl w:val="2"/>
    </w:pPr>
    <w:rPr>
      <w:rFonts w:ascii="Arial" w:hAnsi="Arial" w:cs="Arial"/>
      <w:b/>
      <w:bCs/>
    </w:rPr>
  </w:style>
  <w:style w:type="paragraph" w:styleId="Heading4">
    <w:name w:val="heading 4"/>
    <w:basedOn w:val="Normal"/>
    <w:link w:val="Heading4Char"/>
    <w:uiPriority w:val="9"/>
    <w:semiHidden/>
    <w:unhideWhenUsed/>
    <w:qFormat/>
    <w:rsid w:val="00E33483"/>
    <w:pPr>
      <w:keepNext/>
      <w:ind w:left="720" w:right="-90" w:hanging="720"/>
      <w:outlineLvl w:val="3"/>
    </w:pPr>
    <w:rPr>
      <w:rFonts w:ascii="Arial" w:hAnsi="Arial" w:cs="Arial"/>
      <w:b/>
      <w:bCs/>
    </w:rPr>
  </w:style>
  <w:style w:type="paragraph" w:styleId="Heading5">
    <w:name w:val="heading 5"/>
    <w:basedOn w:val="Normal"/>
    <w:link w:val="Heading5Char"/>
    <w:uiPriority w:val="9"/>
    <w:semiHidden/>
    <w:unhideWhenUsed/>
    <w:qFormat/>
    <w:rsid w:val="00E33483"/>
    <w:pPr>
      <w:keepNext/>
      <w:ind w:left="1170" w:hanging="1170"/>
      <w:outlineLvl w:val="4"/>
    </w:pPr>
    <w:rPr>
      <w:rFonts w:ascii="Arial Bold" w:hAnsi="Arial Bold"/>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semiHidden/>
    <w:rsid w:val="00E33483"/>
    <w:rPr>
      <w:rFonts w:ascii="Arial" w:hAnsi="Arial" w:cs="Arial"/>
      <w:b/>
      <w:bCs/>
      <w:sz w:val="24"/>
      <w:szCs w:val="24"/>
    </w:rPr>
  </w:style>
  <w:style w:type="character" w:customStyle="1" w:styleId="Heading4Char">
    <w:name w:val="Heading 4 Char"/>
    <w:basedOn w:val="DefaultParagraphFont"/>
    <w:link w:val="Heading4"/>
    <w:uiPriority w:val="9"/>
    <w:semiHidden/>
    <w:rsid w:val="00E33483"/>
    <w:rPr>
      <w:rFonts w:ascii="Arial" w:hAnsi="Arial" w:cs="Arial"/>
      <w:b/>
      <w:bCs/>
      <w:sz w:val="24"/>
      <w:szCs w:val="24"/>
    </w:rPr>
  </w:style>
  <w:style w:type="character" w:customStyle="1" w:styleId="Heading5Char">
    <w:name w:val="Heading 5 Char"/>
    <w:basedOn w:val="DefaultParagraphFont"/>
    <w:link w:val="Heading5"/>
    <w:uiPriority w:val="9"/>
    <w:semiHidden/>
    <w:rsid w:val="00E33483"/>
    <w:rPr>
      <w:rFonts w:ascii="Arial Bold" w:hAnsi="Arial Bold" w:cs="Times New Roman"/>
      <w:b/>
      <w:bCs/>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3046967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TotalTime>
  <Pages>1</Pages>
  <Words>1075</Words>
  <Characters>6130</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Washington State</Company>
  <LinksUpToDate>false</LinksUpToDate>
  <CharactersWithSpaces>7191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Goodman, Jodi (ECY)</dc:creator>
  <cp:keywords/>
  <dc:description/>
  <cp:lastModifiedBy>Goodman, Jodi (ECY)</cp:lastModifiedBy>
  <cp:revision>1</cp:revision>
  <dcterms:created xsi:type="dcterms:W3CDTF">2016-12-13T16:24:00Z</dcterms:created>
  <dcterms:modified xsi:type="dcterms:W3CDTF">2016-12-13T16:53:00Z</dcterms:modified>
</cp:coreProperties>
</file>